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4FDB" w14:textId="77777777" w:rsidR="00D85237" w:rsidRDefault="0032491A" w:rsidP="00F33565">
      <w:pPr>
        <w:pStyle w:val="Heading4"/>
        <w:tabs>
          <w:tab w:val="clear" w:pos="360"/>
          <w:tab w:val="clear" w:pos="7459"/>
          <w:tab w:val="clear" w:pos="8467"/>
          <w:tab w:val="clear" w:pos="8726"/>
          <w:tab w:val="clear" w:pos="9720"/>
          <w:tab w:val="left" w:pos="540"/>
          <w:tab w:val="left" w:pos="630"/>
          <w:tab w:val="left" w:pos="900"/>
          <w:tab w:val="left" w:pos="1260"/>
          <w:tab w:val="right" w:pos="10080"/>
        </w:tabs>
        <w:jc w:val="center"/>
        <w:rPr>
          <w:sz w:val="24"/>
        </w:rPr>
      </w:pPr>
      <w:r>
        <w:rPr>
          <w:sz w:val="24"/>
        </w:rPr>
        <w:t xml:space="preserve">NV GOLD CORPORATION </w:t>
      </w:r>
    </w:p>
    <w:p w14:paraId="5BCC558E" w14:textId="77777777" w:rsidR="00FE75DC" w:rsidRDefault="00FE75DC">
      <w:pPr>
        <w:pStyle w:val="Heading8"/>
      </w:pPr>
    </w:p>
    <w:p w14:paraId="48FB0FFD" w14:textId="77777777" w:rsidR="00D85237" w:rsidRDefault="00D85237">
      <w:pPr>
        <w:pStyle w:val="Heading8"/>
      </w:pPr>
      <w:r>
        <w:t>FORM 51-102F1</w:t>
      </w:r>
    </w:p>
    <w:p w14:paraId="62A129DC" w14:textId="77777777" w:rsidR="00D85237" w:rsidRPr="00CE3F2A" w:rsidRDefault="00D85237">
      <w:pPr>
        <w:tabs>
          <w:tab w:val="left" w:pos="540"/>
          <w:tab w:val="left" w:pos="900"/>
          <w:tab w:val="left" w:pos="1260"/>
          <w:tab w:val="right" w:pos="10080"/>
        </w:tabs>
        <w:jc w:val="center"/>
        <w:outlineLvl w:val="0"/>
        <w:rPr>
          <w:b/>
          <w:bCs/>
          <w:lang w:val="en-GB"/>
        </w:rPr>
      </w:pPr>
      <w:r w:rsidRPr="00CE3F2A">
        <w:rPr>
          <w:b/>
          <w:bCs/>
          <w:lang w:val="en-GB"/>
        </w:rPr>
        <w:t>MANAGEMENT DISCUSSION AND ANALYSIS</w:t>
      </w:r>
    </w:p>
    <w:p w14:paraId="5BCFCBAA" w14:textId="5BC1C353" w:rsidR="00246C96" w:rsidRPr="00CE3F2A" w:rsidRDefault="00085951" w:rsidP="00246C96">
      <w:pPr>
        <w:tabs>
          <w:tab w:val="left" w:pos="540"/>
          <w:tab w:val="left" w:pos="900"/>
          <w:tab w:val="left" w:pos="1260"/>
          <w:tab w:val="right" w:pos="10080"/>
        </w:tabs>
        <w:jc w:val="center"/>
        <w:outlineLvl w:val="0"/>
        <w:rPr>
          <w:lang w:val="en-GB"/>
        </w:rPr>
      </w:pPr>
      <w:r>
        <w:rPr>
          <w:b/>
          <w:bCs/>
          <w:lang w:val="en-GB"/>
        </w:rPr>
        <w:t>SIX</w:t>
      </w:r>
      <w:r w:rsidR="001B7B47">
        <w:rPr>
          <w:b/>
          <w:bCs/>
          <w:lang w:val="en-GB"/>
        </w:rPr>
        <w:t xml:space="preserve"> MONTH PERIOD </w:t>
      </w:r>
      <w:r w:rsidR="00CA450A">
        <w:rPr>
          <w:b/>
          <w:bCs/>
          <w:lang w:val="en-GB"/>
        </w:rPr>
        <w:t xml:space="preserve">ENDED </w:t>
      </w:r>
      <w:r>
        <w:rPr>
          <w:b/>
          <w:bCs/>
          <w:lang w:val="en-GB"/>
        </w:rPr>
        <w:t>FEBRUARY</w:t>
      </w:r>
      <w:r w:rsidR="001B7B47">
        <w:rPr>
          <w:b/>
          <w:bCs/>
          <w:lang w:val="en-GB"/>
        </w:rPr>
        <w:t xml:space="preserve"> </w:t>
      </w:r>
      <w:r>
        <w:rPr>
          <w:b/>
          <w:bCs/>
          <w:lang w:val="en-GB"/>
        </w:rPr>
        <w:t>29</w:t>
      </w:r>
      <w:r w:rsidR="00BD4A2E">
        <w:rPr>
          <w:b/>
          <w:bCs/>
          <w:lang w:val="en-GB"/>
        </w:rPr>
        <w:t>, 202</w:t>
      </w:r>
      <w:r>
        <w:rPr>
          <w:b/>
          <w:bCs/>
          <w:lang w:val="en-GB"/>
        </w:rPr>
        <w:t>4</w:t>
      </w:r>
    </w:p>
    <w:p w14:paraId="4DC5246E" w14:textId="77777777" w:rsidR="00D85237" w:rsidRPr="00CE3F2A" w:rsidRDefault="00D85237">
      <w:pPr>
        <w:tabs>
          <w:tab w:val="left" w:pos="540"/>
          <w:tab w:val="left" w:pos="900"/>
          <w:tab w:val="left" w:pos="1260"/>
          <w:tab w:val="right" w:pos="10080"/>
        </w:tabs>
        <w:rPr>
          <w:lang w:val="en-GB"/>
        </w:rPr>
      </w:pPr>
    </w:p>
    <w:p w14:paraId="085D681F" w14:textId="1D8358B3" w:rsidR="001B7B47" w:rsidRDefault="007146E3" w:rsidP="001B7B47">
      <w:pPr>
        <w:jc w:val="both"/>
        <w:rPr>
          <w:color w:val="000000"/>
          <w:szCs w:val="24"/>
        </w:rPr>
      </w:pPr>
      <w:r w:rsidRPr="002A2FE9">
        <w:t xml:space="preserve">The following management discussion and analysis for </w:t>
      </w:r>
      <w:r w:rsidRPr="002A2FE9">
        <w:rPr>
          <w:i/>
        </w:rPr>
        <w:t xml:space="preserve">NV Gold Corporation </w:t>
      </w:r>
      <w:r w:rsidRPr="002A2FE9">
        <w:t xml:space="preserve"> (“the Company”) is prepared as </w:t>
      </w:r>
      <w:r w:rsidRPr="00483706">
        <w:t xml:space="preserve">of </w:t>
      </w:r>
      <w:r w:rsidR="003E7251" w:rsidRPr="00483706">
        <w:rPr>
          <w:b/>
          <w:bCs/>
        </w:rPr>
        <w:t>April</w:t>
      </w:r>
      <w:r w:rsidR="00625198" w:rsidRPr="00483706">
        <w:rPr>
          <w:b/>
          <w:bCs/>
        </w:rPr>
        <w:t xml:space="preserve"> </w:t>
      </w:r>
      <w:r w:rsidR="00483706" w:rsidRPr="00483706">
        <w:rPr>
          <w:b/>
          <w:bCs/>
        </w:rPr>
        <w:t>11</w:t>
      </w:r>
      <w:r w:rsidR="00B04903" w:rsidRPr="00483706">
        <w:rPr>
          <w:b/>
          <w:bCs/>
        </w:rPr>
        <w:t>,</w:t>
      </w:r>
      <w:r w:rsidR="00BD4A2E" w:rsidRPr="00483706">
        <w:rPr>
          <w:b/>
          <w:bCs/>
        </w:rPr>
        <w:t xml:space="preserve"> 202</w:t>
      </w:r>
      <w:r w:rsidR="001B7B47" w:rsidRPr="00483706">
        <w:rPr>
          <w:b/>
          <w:bCs/>
        </w:rPr>
        <w:t>4</w:t>
      </w:r>
      <w:r w:rsidR="00DD0ED6" w:rsidRPr="00483706">
        <w:rPr>
          <w:b/>
        </w:rPr>
        <w:t xml:space="preserve"> </w:t>
      </w:r>
      <w:r w:rsidR="001B7B47" w:rsidRPr="00483706">
        <w:t xml:space="preserve">and should be read together with the </w:t>
      </w:r>
      <w:r w:rsidR="006473A0" w:rsidRPr="00483706">
        <w:t>condensed</w:t>
      </w:r>
      <w:r w:rsidR="001B7B47" w:rsidRPr="00483706">
        <w:t xml:space="preserve"> consolidated interim financial statements for the </w:t>
      </w:r>
      <w:r w:rsidR="003E7251" w:rsidRPr="00483706">
        <w:t>six</w:t>
      </w:r>
      <w:r w:rsidR="001B7B47" w:rsidRPr="00483706">
        <w:t xml:space="preserve"> month period ended </w:t>
      </w:r>
      <w:r w:rsidR="003E7251" w:rsidRPr="00483706">
        <w:t>February</w:t>
      </w:r>
      <w:r w:rsidR="001B7B47" w:rsidRPr="00483706">
        <w:t xml:space="preserve"> </w:t>
      </w:r>
      <w:r w:rsidR="003E7251" w:rsidRPr="00483706">
        <w:t>29</w:t>
      </w:r>
      <w:r w:rsidR="001B7B47" w:rsidRPr="00483706">
        <w:t>, 202</w:t>
      </w:r>
      <w:r w:rsidR="003E7251" w:rsidRPr="00483706">
        <w:t>4</w:t>
      </w:r>
      <w:r w:rsidR="001B7B47" w:rsidRPr="00483706">
        <w:t xml:space="preserve"> and related notes attached thereto (financial statements), which were prepared in accordan</w:t>
      </w:r>
      <w:r w:rsidR="001B7B47" w:rsidRPr="00E31BF2">
        <w:t xml:space="preserve">ce with the </w:t>
      </w:r>
      <w:r w:rsidR="001B7B47" w:rsidRPr="00E31BF2">
        <w:rPr>
          <w:color w:val="000000"/>
          <w:szCs w:val="24"/>
        </w:rPr>
        <w:t>International Accounting Standard (“IAS”) 34 Interim Financial Reporting. The reader should also refer to the Company’s</w:t>
      </w:r>
      <w:r w:rsidR="001B7B47">
        <w:rPr>
          <w:color w:val="000000"/>
          <w:szCs w:val="24"/>
        </w:rPr>
        <w:t xml:space="preserve"> audited consolidated financial statements and accompanying notes for the year ended August 31, 2023.</w:t>
      </w:r>
      <w:r w:rsidR="001B7B47" w:rsidRPr="006578D2">
        <w:rPr>
          <w:color w:val="000000"/>
          <w:szCs w:val="24"/>
        </w:rPr>
        <w:t xml:space="preserve"> </w:t>
      </w:r>
      <w:r w:rsidR="001B7B47" w:rsidRPr="00A123DC">
        <w:rPr>
          <w:color w:val="000000"/>
          <w:szCs w:val="24"/>
        </w:rPr>
        <w:t xml:space="preserve"> </w:t>
      </w:r>
      <w:r w:rsidR="001B7B47">
        <w:rPr>
          <w:color w:val="000000"/>
          <w:szCs w:val="24"/>
        </w:rPr>
        <w:t xml:space="preserve"> </w:t>
      </w:r>
      <w:r w:rsidR="001B7B47" w:rsidRPr="006578D2">
        <w:rPr>
          <w:color w:val="000000"/>
          <w:szCs w:val="24"/>
        </w:rPr>
        <w:t xml:space="preserve"> </w:t>
      </w:r>
      <w:r w:rsidR="001B7B47" w:rsidRPr="00A123DC">
        <w:rPr>
          <w:color w:val="000000"/>
          <w:szCs w:val="24"/>
        </w:rPr>
        <w:t xml:space="preserve"> </w:t>
      </w:r>
      <w:r w:rsidR="001B7B47">
        <w:rPr>
          <w:color w:val="000000"/>
          <w:szCs w:val="24"/>
        </w:rPr>
        <w:t xml:space="preserve"> </w:t>
      </w:r>
    </w:p>
    <w:p w14:paraId="1F136A7A" w14:textId="02702DB4" w:rsidR="00776ACE" w:rsidRDefault="00776ACE" w:rsidP="00776ACE">
      <w:pPr>
        <w:jc w:val="both"/>
        <w:rPr>
          <w:color w:val="000000"/>
          <w:szCs w:val="24"/>
        </w:rPr>
      </w:pPr>
    </w:p>
    <w:p w14:paraId="46E88DFB" w14:textId="77777777" w:rsidR="00E31CEC" w:rsidRDefault="00E31CEC" w:rsidP="00CC67D0">
      <w:pPr>
        <w:jc w:val="both"/>
        <w:rPr>
          <w:color w:val="000000"/>
          <w:szCs w:val="24"/>
        </w:rPr>
      </w:pPr>
    </w:p>
    <w:p w14:paraId="629BB0D8" w14:textId="7F863E51" w:rsidR="00783B7C" w:rsidRPr="0030389A" w:rsidRDefault="00CC67D0" w:rsidP="00CC67D0">
      <w:pPr>
        <w:tabs>
          <w:tab w:val="left" w:pos="720"/>
          <w:tab w:val="left" w:pos="990"/>
          <w:tab w:val="left" w:pos="1260"/>
          <w:tab w:val="right" w:pos="10080"/>
        </w:tabs>
        <w:jc w:val="both"/>
        <w:rPr>
          <w:lang w:val="en-GB"/>
        </w:rPr>
      </w:pPr>
      <w:r>
        <w:t>All dollar figures included therein and in the following MD&amp;A are quoted in Canadian dollars</w:t>
      </w:r>
      <w:r w:rsidR="00E31BF2">
        <w:t>, unless otherwise specified</w:t>
      </w:r>
      <w:r>
        <w:t xml:space="preserve">.  </w:t>
      </w:r>
      <w:r w:rsidR="00783B7C" w:rsidRPr="0030389A">
        <w:rPr>
          <w:lang w:val="en-GB"/>
        </w:rPr>
        <w:t>Additional information related to the Company is available for view on SEDAR</w:t>
      </w:r>
      <w:r w:rsidR="006473A0">
        <w:rPr>
          <w:lang w:val="en-GB"/>
        </w:rPr>
        <w:t>+</w:t>
      </w:r>
      <w:r w:rsidR="00783B7C" w:rsidRPr="0030389A">
        <w:rPr>
          <w:lang w:val="en-GB"/>
        </w:rPr>
        <w:t xml:space="preserve"> </w:t>
      </w:r>
      <w:r w:rsidR="00783B7C">
        <w:rPr>
          <w:lang w:val="en-GB"/>
        </w:rPr>
        <w:t xml:space="preserve">under the Company’s profile </w:t>
      </w:r>
      <w:r w:rsidR="00783B7C" w:rsidRPr="0030389A">
        <w:rPr>
          <w:lang w:val="en-GB"/>
        </w:rPr>
        <w:t xml:space="preserve">at </w:t>
      </w:r>
      <w:hyperlink r:id="rId8" w:history="1">
        <w:r w:rsidR="006473A0" w:rsidRPr="00B42F7A">
          <w:rPr>
            <w:rStyle w:val="Hyperlink"/>
            <w:lang w:val="en-GB"/>
          </w:rPr>
          <w:t>www.sedarplus.ca</w:t>
        </w:r>
      </w:hyperlink>
      <w:r w:rsidR="00783B7C" w:rsidRPr="0030389A">
        <w:rPr>
          <w:lang w:val="en-GB"/>
        </w:rPr>
        <w:t xml:space="preserve"> and on the Company’s website at </w:t>
      </w:r>
      <w:hyperlink r:id="rId9" w:history="1">
        <w:r w:rsidR="00783B7C" w:rsidRPr="00EF5AA9">
          <w:rPr>
            <w:rStyle w:val="Hyperlink"/>
            <w:lang w:val="en-GB"/>
          </w:rPr>
          <w:t>www.nvgoldcorp.com</w:t>
        </w:r>
      </w:hyperlink>
      <w:r w:rsidR="00783B7C" w:rsidRPr="0030389A">
        <w:rPr>
          <w:lang w:val="en-GB"/>
        </w:rPr>
        <w:t>.</w:t>
      </w:r>
    </w:p>
    <w:p w14:paraId="09DC466F" w14:textId="77777777" w:rsidR="003C2B88" w:rsidRDefault="003C2B88" w:rsidP="00CC67D0">
      <w:pPr>
        <w:pStyle w:val="Heading7"/>
        <w:rPr>
          <w:bCs/>
          <w:szCs w:val="20"/>
        </w:rPr>
      </w:pPr>
    </w:p>
    <w:p w14:paraId="6286BC61" w14:textId="77777777" w:rsidR="00D85237" w:rsidRDefault="00D85237" w:rsidP="00CC67D0">
      <w:pPr>
        <w:pStyle w:val="Heading7"/>
        <w:rPr>
          <w:bCs/>
          <w:szCs w:val="20"/>
        </w:rPr>
      </w:pPr>
      <w:r>
        <w:rPr>
          <w:bCs/>
          <w:szCs w:val="20"/>
        </w:rPr>
        <w:t>Description of Business</w:t>
      </w:r>
    </w:p>
    <w:p w14:paraId="65F5CDF2" w14:textId="77777777" w:rsidR="00AA454B" w:rsidRDefault="00AA454B" w:rsidP="00AA454B">
      <w:pPr>
        <w:tabs>
          <w:tab w:val="left" w:pos="720"/>
          <w:tab w:val="left" w:pos="990"/>
          <w:tab w:val="left" w:pos="1260"/>
          <w:tab w:val="right" w:pos="10080"/>
        </w:tabs>
        <w:ind w:left="720" w:hanging="720"/>
        <w:jc w:val="both"/>
        <w:rPr>
          <w:lang w:val="en-GB"/>
        </w:rPr>
      </w:pPr>
    </w:p>
    <w:p w14:paraId="21EAAEA8" w14:textId="5BC60311" w:rsidR="00AA454B" w:rsidRDefault="00AA454B" w:rsidP="004A5717">
      <w:pPr>
        <w:tabs>
          <w:tab w:val="left" w:pos="0"/>
          <w:tab w:val="left" w:pos="990"/>
          <w:tab w:val="left" w:pos="1260"/>
          <w:tab w:val="right" w:pos="10080"/>
        </w:tabs>
        <w:jc w:val="both"/>
        <w:rPr>
          <w:b/>
          <w:lang w:val="en-GB"/>
        </w:rPr>
      </w:pPr>
      <w:r>
        <w:rPr>
          <w:lang w:val="en-GB"/>
        </w:rPr>
        <w:t>NV Gold Corporation</w:t>
      </w:r>
      <w:r w:rsidRPr="0033798A">
        <w:rPr>
          <w:lang w:val="en-GB"/>
        </w:rPr>
        <w:t xml:space="preserve"> (the “Company”)</w:t>
      </w:r>
      <w:r>
        <w:rPr>
          <w:lang w:val="en-GB"/>
        </w:rPr>
        <w:t xml:space="preserve"> was </w:t>
      </w:r>
      <w:r w:rsidRPr="0033798A">
        <w:rPr>
          <w:lang w:val="en-GB"/>
        </w:rPr>
        <w:t>incorporated under the laws of</w:t>
      </w:r>
      <w:r>
        <w:rPr>
          <w:lang w:val="en-GB"/>
        </w:rPr>
        <w:t xml:space="preserve"> the province of British Columbia on May 23, 2007. </w:t>
      </w:r>
      <w:r w:rsidR="00783B7C">
        <w:rPr>
          <w:lang w:val="en-GB"/>
        </w:rPr>
        <w:t>T</w:t>
      </w:r>
      <w:r>
        <w:rPr>
          <w:lang w:val="en-GB"/>
        </w:rPr>
        <w:t xml:space="preserve">he Company’s principal business activity </w:t>
      </w:r>
      <w:r w:rsidR="00B31DD1">
        <w:rPr>
          <w:lang w:val="en-GB"/>
        </w:rPr>
        <w:t xml:space="preserve">is the identification, </w:t>
      </w:r>
      <w:proofErr w:type="gramStart"/>
      <w:r>
        <w:rPr>
          <w:lang w:val="en-GB"/>
        </w:rPr>
        <w:t>acquisition</w:t>
      </w:r>
      <w:proofErr w:type="gramEnd"/>
      <w:r>
        <w:rPr>
          <w:lang w:val="en-GB"/>
        </w:rPr>
        <w:t xml:space="preserve"> and exploration of mineral properties in the United States</w:t>
      </w:r>
      <w:r w:rsidR="00571230">
        <w:rPr>
          <w:lang w:val="en-GB"/>
        </w:rPr>
        <w:t xml:space="preserve"> </w:t>
      </w:r>
      <w:r w:rsidR="00B31DD1">
        <w:rPr>
          <w:lang w:val="en-GB"/>
        </w:rPr>
        <w:t xml:space="preserve">and </w:t>
      </w:r>
      <w:r w:rsidR="00A518A3">
        <w:rPr>
          <w:lang w:val="en-GB"/>
        </w:rPr>
        <w:t>Switzerland</w:t>
      </w:r>
      <w:r>
        <w:rPr>
          <w:lang w:val="en-GB"/>
        </w:rPr>
        <w:t>.</w:t>
      </w:r>
      <w:r w:rsidR="00783B7C">
        <w:rPr>
          <w:lang w:val="en-GB"/>
        </w:rPr>
        <w:t xml:space="preserve"> The Company trades on the TSX Venture Exchange</w:t>
      </w:r>
      <w:r w:rsidR="00A8097A">
        <w:rPr>
          <w:lang w:val="en-GB"/>
        </w:rPr>
        <w:t xml:space="preserve"> (“TSX-V”) </w:t>
      </w:r>
      <w:r w:rsidR="00BB3095">
        <w:rPr>
          <w:lang w:val="en-GB"/>
        </w:rPr>
        <w:t xml:space="preserve">in Canada </w:t>
      </w:r>
      <w:r w:rsidR="00A8097A">
        <w:rPr>
          <w:lang w:val="en-GB"/>
        </w:rPr>
        <w:t xml:space="preserve">under the symbol NVX and the OTC </w:t>
      </w:r>
      <w:r w:rsidR="00C663EB">
        <w:rPr>
          <w:lang w:val="en-GB"/>
        </w:rPr>
        <w:t xml:space="preserve">and OTCQB </w:t>
      </w:r>
      <w:r w:rsidR="00BB3095">
        <w:rPr>
          <w:lang w:val="en-GB"/>
        </w:rPr>
        <w:t xml:space="preserve">Markets in the United States </w:t>
      </w:r>
      <w:r w:rsidR="00A8097A">
        <w:rPr>
          <w:lang w:val="en-GB"/>
        </w:rPr>
        <w:t>under the symbol NVGLF.</w:t>
      </w:r>
      <w:r w:rsidR="00BB3095">
        <w:rPr>
          <w:lang w:val="en-GB"/>
        </w:rPr>
        <w:t xml:space="preserve"> </w:t>
      </w:r>
      <w:r w:rsidR="00851BA3">
        <w:rPr>
          <w:lang w:val="en-GB"/>
        </w:rPr>
        <w:t>O</w:t>
      </w:r>
      <w:r w:rsidR="00851BA3">
        <w:t>n June 1, 2021, the Company’s common shares commenced trading on the Frankfurt Stock Exchange (“FSE”) under the symbol 8NV.</w:t>
      </w:r>
    </w:p>
    <w:p w14:paraId="433B3288" w14:textId="77777777" w:rsidR="00AA454B" w:rsidRDefault="00AA454B" w:rsidP="00A03600">
      <w:pPr>
        <w:tabs>
          <w:tab w:val="left" w:pos="0"/>
          <w:tab w:val="left" w:pos="990"/>
          <w:tab w:val="left" w:pos="1260"/>
          <w:tab w:val="right" w:pos="10080"/>
        </w:tabs>
        <w:jc w:val="both"/>
        <w:rPr>
          <w:lang w:val="en-GB"/>
        </w:rPr>
      </w:pPr>
    </w:p>
    <w:p w14:paraId="53CC5724" w14:textId="77777777" w:rsidR="004546ED" w:rsidRPr="000C49C6" w:rsidRDefault="004546ED" w:rsidP="004546ED">
      <w:pPr>
        <w:jc w:val="both"/>
      </w:pPr>
      <w:r>
        <w:t>On February 28, 2024, the Company completed a 10 to 1 share consolidation. All references to the number of shares and per share amounts have been retroactively restated to reflect the consolidation.</w:t>
      </w:r>
    </w:p>
    <w:p w14:paraId="5563D315" w14:textId="77777777" w:rsidR="004546ED" w:rsidRDefault="004546ED" w:rsidP="00A03600">
      <w:pPr>
        <w:tabs>
          <w:tab w:val="left" w:pos="0"/>
          <w:tab w:val="left" w:pos="990"/>
          <w:tab w:val="left" w:pos="1260"/>
          <w:tab w:val="right" w:pos="10080"/>
        </w:tabs>
        <w:jc w:val="both"/>
        <w:rPr>
          <w:lang w:val="en-GB"/>
        </w:rPr>
      </w:pPr>
    </w:p>
    <w:p w14:paraId="510E5A88" w14:textId="2A421F1C" w:rsidR="00A03600" w:rsidRDefault="00A03600" w:rsidP="00A03600">
      <w:pPr>
        <w:tabs>
          <w:tab w:val="left" w:pos="0"/>
          <w:tab w:val="left" w:pos="990"/>
          <w:tab w:val="left" w:pos="1260"/>
          <w:tab w:val="right" w:pos="10080"/>
        </w:tabs>
        <w:jc w:val="both"/>
        <w:rPr>
          <w:lang w:val="en-GB"/>
        </w:rPr>
      </w:pPr>
      <w:r>
        <w:rPr>
          <w:lang w:val="en-GB"/>
        </w:rPr>
        <w:t xml:space="preserve">The </w:t>
      </w:r>
      <w:r w:rsidR="006473A0">
        <w:rPr>
          <w:lang w:val="en-GB"/>
        </w:rPr>
        <w:t>condensed</w:t>
      </w:r>
      <w:r w:rsidR="00C663EB">
        <w:rPr>
          <w:lang w:val="en-GB"/>
        </w:rPr>
        <w:t xml:space="preserve"> </w:t>
      </w:r>
      <w:r>
        <w:rPr>
          <w:lang w:val="en-GB"/>
        </w:rPr>
        <w:t xml:space="preserve">consolidated </w:t>
      </w:r>
      <w:r w:rsidR="006473A0">
        <w:rPr>
          <w:lang w:val="en-GB"/>
        </w:rPr>
        <w:t xml:space="preserve">interim </w:t>
      </w:r>
      <w:r>
        <w:rPr>
          <w:lang w:val="en-GB"/>
        </w:rPr>
        <w:t xml:space="preserve">financial statements contained herein include the accounts of the Company and its </w:t>
      </w:r>
      <w:r w:rsidR="005D1694">
        <w:rPr>
          <w:lang w:val="en-GB"/>
        </w:rPr>
        <w:t xml:space="preserve">two </w:t>
      </w:r>
      <w:r>
        <w:rPr>
          <w:lang w:val="en-GB"/>
        </w:rPr>
        <w:t>wholly owned subsidiar</w:t>
      </w:r>
      <w:r w:rsidR="005D1694">
        <w:rPr>
          <w:lang w:val="en-GB"/>
        </w:rPr>
        <w:t>ies</w:t>
      </w:r>
      <w:r>
        <w:rPr>
          <w:lang w:val="en-GB"/>
        </w:rPr>
        <w:t>,</w:t>
      </w:r>
      <w:r w:rsidR="00913528">
        <w:rPr>
          <w:lang w:val="en-GB"/>
        </w:rPr>
        <w:t xml:space="preserve"> NV Gold Corporation (USA)</w:t>
      </w:r>
      <w:r w:rsidR="00A518A3">
        <w:rPr>
          <w:lang w:val="en-GB"/>
        </w:rPr>
        <w:t xml:space="preserve"> Inc.</w:t>
      </w:r>
      <w:r w:rsidR="00913528">
        <w:rPr>
          <w:lang w:val="en-GB"/>
        </w:rPr>
        <w:t xml:space="preserve"> (“</w:t>
      </w:r>
      <w:r>
        <w:rPr>
          <w:lang w:val="en-GB"/>
        </w:rPr>
        <w:t>NV Gold USA</w:t>
      </w:r>
      <w:r w:rsidR="00913528">
        <w:rPr>
          <w:lang w:val="en-GB"/>
        </w:rPr>
        <w:t>”)</w:t>
      </w:r>
      <w:r w:rsidR="005D1694">
        <w:rPr>
          <w:lang w:val="en-GB"/>
        </w:rPr>
        <w:t xml:space="preserve"> and </w:t>
      </w:r>
      <w:proofErr w:type="spellStart"/>
      <w:r w:rsidR="005D1694">
        <w:rPr>
          <w:lang w:val="en-GB"/>
        </w:rPr>
        <w:t>SwissGold</w:t>
      </w:r>
      <w:proofErr w:type="spellEnd"/>
      <w:r w:rsidR="005D1694">
        <w:rPr>
          <w:lang w:val="en-GB"/>
        </w:rPr>
        <w:t xml:space="preserve"> Exploration AG (“</w:t>
      </w:r>
      <w:proofErr w:type="spellStart"/>
      <w:r w:rsidR="005D1694">
        <w:rPr>
          <w:lang w:val="en-GB"/>
        </w:rPr>
        <w:t>SwissGold</w:t>
      </w:r>
      <w:proofErr w:type="spellEnd"/>
      <w:r w:rsidR="005D1694">
        <w:rPr>
          <w:lang w:val="en-GB"/>
        </w:rPr>
        <w:t>”)</w:t>
      </w:r>
      <w:r>
        <w:rPr>
          <w:lang w:val="en-GB"/>
        </w:rPr>
        <w:t>. All inter-company balances and transactions have been eliminated upon consolidation.</w:t>
      </w:r>
    </w:p>
    <w:p w14:paraId="2EB3E60E" w14:textId="77777777" w:rsidR="00A03600" w:rsidRDefault="00A03600" w:rsidP="004268EF">
      <w:pPr>
        <w:tabs>
          <w:tab w:val="left" w:pos="0"/>
        </w:tabs>
        <w:jc w:val="both"/>
        <w:rPr>
          <w:lang w:val="en-GB"/>
        </w:rPr>
      </w:pPr>
    </w:p>
    <w:p w14:paraId="468D67F9" w14:textId="6DC16C28" w:rsidR="0032491A" w:rsidRPr="0032491A" w:rsidRDefault="0032491A" w:rsidP="0032491A">
      <w:pPr>
        <w:pStyle w:val="BodyText2"/>
        <w:tabs>
          <w:tab w:val="clear" w:pos="432"/>
          <w:tab w:val="clear" w:pos="882"/>
          <w:tab w:val="left" w:pos="0"/>
        </w:tabs>
        <w:ind w:left="0" w:firstLine="0"/>
        <w:jc w:val="both"/>
        <w:rPr>
          <w:sz w:val="20"/>
        </w:rPr>
      </w:pPr>
      <w:r w:rsidRPr="0032491A">
        <w:rPr>
          <w:sz w:val="20"/>
        </w:rPr>
        <w:t xml:space="preserve">The Company is in the </w:t>
      </w:r>
      <w:r w:rsidR="00A33552">
        <w:rPr>
          <w:sz w:val="20"/>
        </w:rPr>
        <w:t>business</w:t>
      </w:r>
      <w:r w:rsidRPr="0032491A">
        <w:rPr>
          <w:sz w:val="20"/>
        </w:rPr>
        <w:t xml:space="preserve"> of </w:t>
      </w:r>
      <w:r w:rsidR="0058456C">
        <w:rPr>
          <w:sz w:val="20"/>
        </w:rPr>
        <w:t>exploring and developing</w:t>
      </w:r>
      <w:r w:rsidRPr="0032491A">
        <w:rPr>
          <w:sz w:val="20"/>
        </w:rPr>
        <w:t xml:space="preserve"> its mineral properties in </w:t>
      </w:r>
      <w:r w:rsidR="00C95CFD">
        <w:rPr>
          <w:sz w:val="20"/>
        </w:rPr>
        <w:t>the United States</w:t>
      </w:r>
      <w:r w:rsidR="00BB3095">
        <w:rPr>
          <w:sz w:val="20"/>
        </w:rPr>
        <w:t xml:space="preserve"> </w:t>
      </w:r>
      <w:r w:rsidR="00C95CFD">
        <w:rPr>
          <w:sz w:val="20"/>
        </w:rPr>
        <w:t xml:space="preserve">and </w:t>
      </w:r>
      <w:r w:rsidR="00A518A3">
        <w:rPr>
          <w:sz w:val="20"/>
        </w:rPr>
        <w:t>Switzerland</w:t>
      </w:r>
      <w:r w:rsidR="00B31DD1">
        <w:rPr>
          <w:sz w:val="20"/>
        </w:rPr>
        <w:t xml:space="preserve"> </w:t>
      </w:r>
      <w:r w:rsidRPr="0032491A">
        <w:rPr>
          <w:sz w:val="20"/>
        </w:rPr>
        <w:t xml:space="preserve">and has not yet determined whether </w:t>
      </w:r>
      <w:r w:rsidR="00131C70" w:rsidRPr="0032491A">
        <w:rPr>
          <w:sz w:val="20"/>
        </w:rPr>
        <w:t>th</w:t>
      </w:r>
      <w:r w:rsidR="00131C70">
        <w:rPr>
          <w:sz w:val="20"/>
        </w:rPr>
        <w:t>ese</w:t>
      </w:r>
      <w:r w:rsidR="00131C70" w:rsidRPr="0032491A">
        <w:rPr>
          <w:sz w:val="20"/>
        </w:rPr>
        <w:t xml:space="preserve"> propert</w:t>
      </w:r>
      <w:r w:rsidR="00131C70">
        <w:rPr>
          <w:sz w:val="20"/>
        </w:rPr>
        <w:t xml:space="preserve">ies </w:t>
      </w:r>
      <w:r w:rsidR="00131C70" w:rsidRPr="0032491A">
        <w:rPr>
          <w:sz w:val="20"/>
        </w:rPr>
        <w:t>contain</w:t>
      </w:r>
      <w:r w:rsidRPr="0032491A">
        <w:rPr>
          <w:sz w:val="20"/>
        </w:rPr>
        <w:t xml:space="preserve"> ore reserves that are economically recoverable. The recoverability of the amounts shown for mineral propert</w:t>
      </w:r>
      <w:r w:rsidR="00F20D66">
        <w:rPr>
          <w:sz w:val="20"/>
        </w:rPr>
        <w:t>y</w:t>
      </w:r>
      <w:r w:rsidRPr="0032491A">
        <w:rPr>
          <w:sz w:val="20"/>
        </w:rPr>
        <w:t xml:space="preserve"> and related deferred </w:t>
      </w:r>
      <w:r w:rsidR="005427AB">
        <w:rPr>
          <w:sz w:val="20"/>
        </w:rPr>
        <w:t xml:space="preserve">exploration </w:t>
      </w:r>
      <w:r w:rsidRPr="0032491A">
        <w:rPr>
          <w:sz w:val="20"/>
        </w:rPr>
        <w:t>costs is dependent upon the existence of economically recoverable reserves, the ability of the Company to obtain necessary financing to complete the development of the mineral propert</w:t>
      </w:r>
      <w:r w:rsidR="00F20D66">
        <w:rPr>
          <w:sz w:val="20"/>
        </w:rPr>
        <w:t>y</w:t>
      </w:r>
      <w:r w:rsidRPr="0032491A">
        <w:rPr>
          <w:sz w:val="20"/>
        </w:rPr>
        <w:t xml:space="preserve"> and upon future profitable production.</w:t>
      </w:r>
    </w:p>
    <w:p w14:paraId="39DAA0D6" w14:textId="77777777" w:rsidR="00C649D3" w:rsidRDefault="00C649D3" w:rsidP="004670ED">
      <w:pPr>
        <w:jc w:val="both"/>
        <w:rPr>
          <w:b/>
          <w:sz w:val="24"/>
          <w:szCs w:val="24"/>
        </w:rPr>
      </w:pPr>
    </w:p>
    <w:p w14:paraId="1359025E" w14:textId="77777777" w:rsidR="001B4168" w:rsidRPr="001B4168" w:rsidRDefault="001B4168" w:rsidP="001B4168">
      <w:pPr>
        <w:widowControl w:val="0"/>
        <w:tabs>
          <w:tab w:val="left" w:pos="-720"/>
          <w:tab w:val="left" w:pos="0"/>
          <w:tab w:val="left" w:pos="5902"/>
        </w:tabs>
        <w:jc w:val="both"/>
        <w:rPr>
          <w:b/>
          <w:sz w:val="24"/>
          <w:szCs w:val="24"/>
          <w:lang w:val="en-GB"/>
        </w:rPr>
      </w:pPr>
      <w:r w:rsidRPr="001B4168">
        <w:rPr>
          <w:b/>
          <w:sz w:val="24"/>
          <w:szCs w:val="24"/>
          <w:lang w:val="en-GB"/>
        </w:rPr>
        <w:t xml:space="preserve">Technical Disclosure in the Management Discussion and Analysis </w:t>
      </w:r>
    </w:p>
    <w:p w14:paraId="58BC94B5" w14:textId="77777777" w:rsidR="001B4168" w:rsidRPr="001B4168" w:rsidRDefault="001B4168" w:rsidP="001B4168">
      <w:pPr>
        <w:widowControl w:val="0"/>
        <w:tabs>
          <w:tab w:val="left" w:pos="-720"/>
          <w:tab w:val="left" w:pos="0"/>
          <w:tab w:val="left" w:pos="5902"/>
        </w:tabs>
        <w:jc w:val="both"/>
        <w:rPr>
          <w:lang w:val="en-GB"/>
        </w:rPr>
      </w:pPr>
    </w:p>
    <w:p w14:paraId="5970EDA8" w14:textId="7807E53D" w:rsidR="0024798C" w:rsidRPr="00B0687F" w:rsidRDefault="0024798C" w:rsidP="0024798C">
      <w:pPr>
        <w:jc w:val="both"/>
      </w:pPr>
      <w:r w:rsidRPr="00490D4D">
        <w:rPr>
          <w:color w:val="000000"/>
        </w:rPr>
        <w:t xml:space="preserve">Dr. Michael Gustin and Dr. Quinton Hennigh (Advisor to </w:t>
      </w:r>
      <w:r w:rsidR="007B5F1A">
        <w:rPr>
          <w:color w:val="000000"/>
        </w:rPr>
        <w:t>the Company</w:t>
      </w:r>
      <w:r w:rsidRPr="00490D4D">
        <w:rPr>
          <w:color w:val="000000"/>
        </w:rPr>
        <w:t>), both Qualified Persons pursuant to National Instrument (“NI 43-101”), are responsible for, and has reviewed and approved, the technical information contained in the Company’s new releases, which have been referred to in this MD&amp;A</w:t>
      </w:r>
      <w:r w:rsidRPr="005F66EC">
        <w:rPr>
          <w:color w:val="000000"/>
        </w:rPr>
        <w:t xml:space="preserve">. Damir Cukor, a Qualified Person, has reviewed and approved the technical information contained </w:t>
      </w:r>
      <w:r w:rsidR="00AF4D57">
        <w:rPr>
          <w:color w:val="000000"/>
        </w:rPr>
        <w:t>i</w:t>
      </w:r>
      <w:r w:rsidRPr="005F66EC">
        <w:rPr>
          <w:color w:val="000000"/>
        </w:rPr>
        <w:t>n the Company’s new</w:t>
      </w:r>
      <w:r w:rsidR="00D06A0C">
        <w:rPr>
          <w:color w:val="000000"/>
        </w:rPr>
        <w:t>s</w:t>
      </w:r>
      <w:r w:rsidRPr="005F66EC">
        <w:rPr>
          <w:color w:val="000000"/>
        </w:rPr>
        <w:t xml:space="preserve"> releases regarding drilling on the Slumber Gold Project.</w:t>
      </w:r>
      <w:r w:rsidR="00AF4D57">
        <w:rPr>
          <w:color w:val="000000"/>
        </w:rPr>
        <w:t xml:space="preserve"> John Kerr</w:t>
      </w:r>
      <w:r>
        <w:rPr>
          <w:color w:val="000000"/>
        </w:rPr>
        <w:t xml:space="preserve"> </w:t>
      </w:r>
      <w:r w:rsidR="00AF4D57">
        <w:rPr>
          <w:color w:val="000000"/>
        </w:rPr>
        <w:t>(a Company director), a Qualified Person, has reviewed and approved the technical information contained in the Company’s new releases regarding the Triple T Project.</w:t>
      </w:r>
      <w:r w:rsidRPr="00B0687F">
        <w:t xml:space="preserve"> </w:t>
      </w:r>
    </w:p>
    <w:p w14:paraId="3A1B5492" w14:textId="77777777" w:rsidR="003C2B88" w:rsidRPr="00B0687F" w:rsidRDefault="003C2B88" w:rsidP="004670ED">
      <w:pPr>
        <w:jc w:val="both"/>
        <w:rPr>
          <w:b/>
          <w:sz w:val="24"/>
          <w:szCs w:val="24"/>
        </w:rPr>
      </w:pPr>
    </w:p>
    <w:p w14:paraId="45883BF5" w14:textId="77777777" w:rsidR="00F46C9D" w:rsidRPr="00B0687F" w:rsidRDefault="004670ED" w:rsidP="008F31D9">
      <w:pPr>
        <w:tabs>
          <w:tab w:val="left" w:pos="9249"/>
        </w:tabs>
        <w:jc w:val="both"/>
      </w:pPr>
      <w:r w:rsidRPr="00287399">
        <w:rPr>
          <w:b/>
          <w:sz w:val="24"/>
          <w:szCs w:val="24"/>
        </w:rPr>
        <w:t>Mineral Properties</w:t>
      </w:r>
      <w:r w:rsidR="00C36415" w:rsidRPr="00B0687F">
        <w:rPr>
          <w:b/>
          <w:sz w:val="24"/>
          <w:szCs w:val="24"/>
        </w:rPr>
        <w:tab/>
      </w:r>
    </w:p>
    <w:p w14:paraId="1670F475" w14:textId="77777777" w:rsidR="008F31D9" w:rsidRDefault="008F31D9" w:rsidP="00F46C9D">
      <w:pPr>
        <w:rPr>
          <w:b/>
          <w:i/>
          <w:u w:val="single"/>
        </w:rPr>
      </w:pPr>
    </w:p>
    <w:p w14:paraId="7F2C8B51" w14:textId="77777777" w:rsidR="009F32C5" w:rsidRPr="00E931A9" w:rsidRDefault="009F32C5" w:rsidP="009F32C5">
      <w:pPr>
        <w:widowControl w:val="0"/>
        <w:overflowPunct w:val="0"/>
        <w:autoSpaceDE w:val="0"/>
        <w:autoSpaceDN w:val="0"/>
        <w:adjustRightInd w:val="0"/>
        <w:jc w:val="both"/>
        <w:textAlignment w:val="baseline"/>
        <w:rPr>
          <w:b/>
          <w:i/>
          <w:u w:val="single"/>
        </w:rPr>
      </w:pPr>
      <w:r w:rsidRPr="002A25A2">
        <w:rPr>
          <w:b/>
          <w:i/>
          <w:u w:val="single"/>
        </w:rPr>
        <w:t>SW Pipe Project, Nevada, USA</w:t>
      </w:r>
    </w:p>
    <w:p w14:paraId="6AE9AEB0" w14:textId="77777777" w:rsidR="009F32C5" w:rsidRPr="00E931A9" w:rsidRDefault="009F32C5" w:rsidP="009F32C5">
      <w:pPr>
        <w:widowControl w:val="0"/>
        <w:overflowPunct w:val="0"/>
        <w:autoSpaceDE w:val="0"/>
        <w:autoSpaceDN w:val="0"/>
        <w:adjustRightInd w:val="0"/>
        <w:jc w:val="both"/>
        <w:textAlignment w:val="baseline"/>
        <w:rPr>
          <w:b/>
        </w:rPr>
      </w:pPr>
    </w:p>
    <w:p w14:paraId="21DF9757" w14:textId="77777777" w:rsidR="009F32C5" w:rsidRDefault="009F32C5" w:rsidP="009F32C5">
      <w:pPr>
        <w:contextualSpacing/>
        <w:jc w:val="both"/>
      </w:pPr>
      <w:r w:rsidRPr="00E931A9">
        <w:t xml:space="preserve">The Company </w:t>
      </w:r>
      <w:r>
        <w:t>staked</w:t>
      </w:r>
      <w:r w:rsidRPr="00E931A9">
        <w:t xml:space="preserve"> </w:t>
      </w:r>
      <w:r>
        <w:t xml:space="preserve">unpatented mining </w:t>
      </w:r>
      <w:r w:rsidRPr="00E931A9">
        <w:t>claims in Lander County, Nevada. The claims, collectively named the SW Pipe Project</w:t>
      </w:r>
      <w:r>
        <w:t xml:space="preserve"> (“SW Pipe”)</w:t>
      </w:r>
      <w:r w:rsidRPr="00E931A9">
        <w:t xml:space="preserve">, cover approximately 6.5 square km (2.5 square miles). </w:t>
      </w:r>
    </w:p>
    <w:p w14:paraId="19BDB2C2" w14:textId="77777777" w:rsidR="009F32C5" w:rsidRDefault="009F32C5" w:rsidP="009F32C5">
      <w:pPr>
        <w:contextualSpacing/>
        <w:jc w:val="both"/>
      </w:pPr>
    </w:p>
    <w:p w14:paraId="1D7F8143" w14:textId="77777777" w:rsidR="009F32C5" w:rsidRDefault="009F32C5" w:rsidP="009F32C5">
      <w:pPr>
        <w:jc w:val="both"/>
      </w:pPr>
      <w:r>
        <w:t>On April 23, 2021, the Company entered into an Exploration Earn-In Agreement (“Agreement”) with Hochschild Mining (US) Inc. (“HOC US”), a subsidiary of Hochschild Mining PLC (“Hochschild”), with respect to SW Pipe. Effective August 27, 2022, HOC US terminated the Agreement.</w:t>
      </w:r>
    </w:p>
    <w:p w14:paraId="35CDC224" w14:textId="77777777" w:rsidR="009F32C5" w:rsidRDefault="009F32C5" w:rsidP="00F46C9D">
      <w:pPr>
        <w:rPr>
          <w:bCs/>
          <w:iCs/>
        </w:rPr>
      </w:pPr>
    </w:p>
    <w:p w14:paraId="027541F4" w14:textId="77777777" w:rsidR="004546ED" w:rsidRDefault="004546ED" w:rsidP="00F46C9D">
      <w:pPr>
        <w:rPr>
          <w:bCs/>
          <w:iCs/>
        </w:rPr>
      </w:pPr>
    </w:p>
    <w:p w14:paraId="4986AB4B" w14:textId="77777777" w:rsidR="004546ED" w:rsidRPr="009F32C5" w:rsidRDefault="004546ED" w:rsidP="00F46C9D">
      <w:pPr>
        <w:rPr>
          <w:bCs/>
          <w:iCs/>
        </w:rPr>
      </w:pPr>
    </w:p>
    <w:p w14:paraId="065EE6CD" w14:textId="1E6FF9AF" w:rsidR="00072157" w:rsidRDefault="00072157" w:rsidP="00072157">
      <w:pPr>
        <w:jc w:val="both"/>
        <w:rPr>
          <w:b/>
          <w:i/>
          <w:u w:val="single"/>
        </w:rPr>
      </w:pPr>
      <w:r w:rsidRPr="002A25A2">
        <w:rPr>
          <w:b/>
          <w:i/>
          <w:u w:val="single"/>
        </w:rPr>
        <w:lastRenderedPageBreak/>
        <w:t>Slumber Gold Pro</w:t>
      </w:r>
      <w:r w:rsidR="006E6CB1" w:rsidRPr="002A25A2">
        <w:rPr>
          <w:b/>
          <w:i/>
          <w:u w:val="single"/>
        </w:rPr>
        <w:t>ject</w:t>
      </w:r>
      <w:r w:rsidRPr="002A25A2">
        <w:rPr>
          <w:b/>
          <w:i/>
          <w:u w:val="single"/>
        </w:rPr>
        <w:t>, Nevada, USA</w:t>
      </w:r>
    </w:p>
    <w:p w14:paraId="01C90617" w14:textId="77777777" w:rsidR="00072157" w:rsidRDefault="00072157" w:rsidP="00072157">
      <w:pPr>
        <w:jc w:val="both"/>
        <w:rPr>
          <w:b/>
          <w:i/>
          <w:u w:val="single"/>
        </w:rPr>
      </w:pPr>
    </w:p>
    <w:p w14:paraId="2C914314" w14:textId="77777777" w:rsidR="00F336D0" w:rsidRPr="00535C85" w:rsidRDefault="00F336D0" w:rsidP="00F336D0">
      <w:pPr>
        <w:jc w:val="both"/>
        <w:rPr>
          <w:color w:val="000000" w:themeColor="text1"/>
        </w:rPr>
      </w:pPr>
      <w:r w:rsidRPr="00535C85">
        <w:rPr>
          <w:color w:val="2E3532"/>
        </w:rPr>
        <w:t xml:space="preserve">On May 30, 2019, the Company announced that it executed a binding letter of intent (the </w:t>
      </w:r>
      <w:r>
        <w:rPr>
          <w:color w:val="2E3532"/>
        </w:rPr>
        <w:t>“</w:t>
      </w:r>
      <w:r w:rsidRPr="00535C85">
        <w:rPr>
          <w:color w:val="2E3532"/>
        </w:rPr>
        <w:t>LOI</w:t>
      </w:r>
      <w:r>
        <w:rPr>
          <w:color w:val="2E3532"/>
        </w:rPr>
        <w:t>”</w:t>
      </w:r>
      <w:r w:rsidRPr="00535C85">
        <w:rPr>
          <w:color w:val="2E3532"/>
        </w:rPr>
        <w:t xml:space="preserve">) with a </w:t>
      </w:r>
      <w:r>
        <w:rPr>
          <w:color w:val="2E3532"/>
        </w:rPr>
        <w:t>two private individuals (the “V</w:t>
      </w:r>
      <w:r w:rsidRPr="00535C85">
        <w:rPr>
          <w:color w:val="2E3532"/>
        </w:rPr>
        <w:t>endor</w:t>
      </w:r>
      <w:r>
        <w:rPr>
          <w:color w:val="2E3532"/>
        </w:rPr>
        <w:t xml:space="preserve">s”) </w:t>
      </w:r>
      <w:r w:rsidRPr="00535C85">
        <w:rPr>
          <w:color w:val="2E3532"/>
        </w:rPr>
        <w:t xml:space="preserve">providing the Company the right to enter into a </w:t>
      </w:r>
      <w:r>
        <w:rPr>
          <w:color w:val="2E3532"/>
        </w:rPr>
        <w:t>l</w:t>
      </w:r>
      <w:r w:rsidRPr="00535C85">
        <w:rPr>
          <w:color w:val="2E3532"/>
        </w:rPr>
        <w:t xml:space="preserve">ease </w:t>
      </w:r>
      <w:r>
        <w:rPr>
          <w:color w:val="2E3532"/>
        </w:rPr>
        <w:t>a</w:t>
      </w:r>
      <w:r w:rsidRPr="00535C85">
        <w:rPr>
          <w:color w:val="2E3532"/>
        </w:rPr>
        <w:t xml:space="preserve">greement to lease an </w:t>
      </w:r>
      <w:r w:rsidRPr="00535C85">
        <w:rPr>
          <w:lang w:val="en-GB"/>
        </w:rPr>
        <w:t xml:space="preserve">undivided 100% right, </w:t>
      </w:r>
      <w:proofErr w:type="gramStart"/>
      <w:r w:rsidRPr="00535C85">
        <w:rPr>
          <w:lang w:val="en-GB"/>
        </w:rPr>
        <w:t>title</w:t>
      </w:r>
      <w:proofErr w:type="gramEnd"/>
      <w:r w:rsidRPr="00535C85">
        <w:rPr>
          <w:lang w:val="en-GB"/>
        </w:rPr>
        <w:t xml:space="preserve"> and interest in </w:t>
      </w:r>
      <w:r w:rsidRPr="00535C85">
        <w:rPr>
          <w:color w:val="2E3532"/>
        </w:rPr>
        <w:t xml:space="preserve">the Slumber Gold Property in Nevada. </w:t>
      </w:r>
      <w:r w:rsidRPr="00535C85">
        <w:rPr>
          <w:color w:val="000000" w:themeColor="text1"/>
        </w:rPr>
        <w:t xml:space="preserve">The LOI may be subject to TSX-V approval, and the transaction is an arms-length </w:t>
      </w:r>
      <w:r>
        <w:rPr>
          <w:color w:val="000000" w:themeColor="text1"/>
        </w:rPr>
        <w:t>t</w:t>
      </w:r>
      <w:r w:rsidRPr="00535C85">
        <w:rPr>
          <w:color w:val="000000" w:themeColor="text1"/>
        </w:rPr>
        <w:t xml:space="preserve">ransaction. </w:t>
      </w:r>
    </w:p>
    <w:p w14:paraId="5BC71B59" w14:textId="77777777" w:rsidR="00F336D0" w:rsidRDefault="00F336D0" w:rsidP="00F336D0">
      <w:pPr>
        <w:jc w:val="both"/>
        <w:rPr>
          <w:color w:val="000000" w:themeColor="text1"/>
        </w:rPr>
      </w:pPr>
      <w:r>
        <w:rPr>
          <w:color w:val="000000" w:themeColor="text1"/>
        </w:rPr>
        <w:tab/>
      </w:r>
    </w:p>
    <w:p w14:paraId="70507545" w14:textId="47927E4A" w:rsidR="00EB1817" w:rsidRDefault="00F336D0" w:rsidP="00F336D0">
      <w:pPr>
        <w:jc w:val="both"/>
        <w:rPr>
          <w:color w:val="000000"/>
        </w:rPr>
      </w:pPr>
      <w:r w:rsidRPr="00535C85">
        <w:rPr>
          <w:color w:val="000000" w:themeColor="text1"/>
        </w:rPr>
        <w:t xml:space="preserve">The Slumber </w:t>
      </w:r>
      <w:r w:rsidRPr="00535C85">
        <w:rPr>
          <w:color w:val="000000"/>
        </w:rPr>
        <w:t>Gold Property occurs along an intra-mountain graben in the Jackson Mountains approximately 50 miles northwest of Winnemucca, Humboldt County, Nevada</w:t>
      </w:r>
      <w:r>
        <w:rPr>
          <w:color w:val="000000"/>
        </w:rPr>
        <w:t>.</w:t>
      </w:r>
    </w:p>
    <w:p w14:paraId="729FE92E" w14:textId="77777777" w:rsidR="001B7B47" w:rsidRDefault="001B7B47" w:rsidP="00F336D0">
      <w:pPr>
        <w:jc w:val="both"/>
        <w:rPr>
          <w:rFonts w:eastAsiaTheme="minorEastAsia"/>
          <w:color w:val="323232"/>
          <w:lang w:eastAsia="ja-JP"/>
        </w:rPr>
      </w:pPr>
    </w:p>
    <w:p w14:paraId="137CFCE3" w14:textId="3C578410" w:rsidR="00F336D0" w:rsidRPr="00635E4B" w:rsidRDefault="00F336D0" w:rsidP="00F336D0">
      <w:pPr>
        <w:jc w:val="both"/>
        <w:rPr>
          <w:rFonts w:eastAsiaTheme="minorEastAsia"/>
          <w:lang w:eastAsia="ja-JP"/>
        </w:rPr>
      </w:pPr>
      <w:r w:rsidRPr="00635E4B">
        <w:rPr>
          <w:rFonts w:eastAsiaTheme="minorEastAsia"/>
          <w:lang w:eastAsia="ja-JP"/>
        </w:rPr>
        <w:t xml:space="preserve">On July 29, 2019, the Company formalized </w:t>
      </w:r>
      <w:r w:rsidR="007755CA">
        <w:rPr>
          <w:rFonts w:eastAsiaTheme="minorEastAsia"/>
          <w:lang w:eastAsia="ja-JP"/>
        </w:rPr>
        <w:t>an</w:t>
      </w:r>
      <w:r w:rsidRPr="00635E4B">
        <w:rPr>
          <w:rFonts w:eastAsiaTheme="minorEastAsia"/>
          <w:lang w:eastAsia="ja-JP"/>
        </w:rPr>
        <w:t xml:space="preserve"> LOI and entered into a Mining Lease and Surface Use Agreement (“Lease”) with the Vendors. The </w:t>
      </w:r>
      <w:r w:rsidR="007755CA">
        <w:rPr>
          <w:rFonts w:eastAsiaTheme="minorEastAsia"/>
          <w:lang w:eastAsia="ja-JP"/>
        </w:rPr>
        <w:t>C</w:t>
      </w:r>
      <w:r w:rsidRPr="00635E4B">
        <w:rPr>
          <w:rFonts w:eastAsiaTheme="minorEastAsia"/>
          <w:lang w:eastAsia="ja-JP"/>
        </w:rPr>
        <w:t>ompany is subject to incur minimum annual work commitments as follows:</w:t>
      </w:r>
    </w:p>
    <w:p w14:paraId="3CFE5660" w14:textId="77777777" w:rsidR="00F336D0" w:rsidRPr="00635E4B" w:rsidRDefault="00F336D0" w:rsidP="00F336D0">
      <w:pPr>
        <w:ind w:firstLine="720"/>
        <w:jc w:val="both"/>
        <w:rPr>
          <w:rFonts w:eastAsiaTheme="minorEastAsia"/>
          <w:lang w:eastAsia="ja-JP"/>
        </w:rPr>
      </w:pPr>
    </w:p>
    <w:p w14:paraId="0444666A"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$25,000 </w:t>
      </w:r>
      <w:r w:rsidRPr="00635E4B">
        <w:rPr>
          <w:rFonts w:eastAsiaTheme="minorEastAsia"/>
          <w:lang w:eastAsia="ja-JP"/>
        </w:rPr>
        <w:tab/>
      </w:r>
      <w:r w:rsidRPr="00635E4B">
        <w:rPr>
          <w:rFonts w:eastAsiaTheme="minorEastAsia"/>
          <w:lang w:eastAsia="ja-JP"/>
        </w:rPr>
        <w:tab/>
        <w:t>First anniversary date</w:t>
      </w:r>
      <w:r>
        <w:rPr>
          <w:rFonts w:eastAsiaTheme="minorEastAsia"/>
          <w:lang w:eastAsia="ja-JP"/>
        </w:rPr>
        <w:t xml:space="preserve"> (incurred)</w:t>
      </w:r>
    </w:p>
    <w:p w14:paraId="4F199333"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$50,000 </w:t>
      </w:r>
      <w:r w:rsidRPr="00635E4B">
        <w:rPr>
          <w:rFonts w:eastAsiaTheme="minorEastAsia"/>
          <w:lang w:eastAsia="ja-JP"/>
        </w:rPr>
        <w:tab/>
      </w:r>
      <w:r w:rsidRPr="00635E4B">
        <w:rPr>
          <w:rFonts w:eastAsiaTheme="minorEastAsia"/>
          <w:lang w:eastAsia="ja-JP"/>
        </w:rPr>
        <w:tab/>
        <w:t>Second anniversary date</w:t>
      </w:r>
      <w:r>
        <w:rPr>
          <w:rFonts w:eastAsiaTheme="minorEastAsia"/>
          <w:lang w:eastAsia="ja-JP"/>
        </w:rPr>
        <w:t xml:space="preserve"> (incurred)</w:t>
      </w:r>
    </w:p>
    <w:p w14:paraId="2330E931"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$75,000 </w:t>
      </w:r>
      <w:r w:rsidRPr="00635E4B">
        <w:rPr>
          <w:rFonts w:eastAsiaTheme="minorEastAsia"/>
          <w:lang w:eastAsia="ja-JP"/>
        </w:rPr>
        <w:tab/>
      </w:r>
      <w:r w:rsidRPr="00635E4B">
        <w:rPr>
          <w:rFonts w:eastAsiaTheme="minorEastAsia"/>
          <w:lang w:eastAsia="ja-JP"/>
        </w:rPr>
        <w:tab/>
        <w:t>Third anniversary date</w:t>
      </w:r>
      <w:r>
        <w:rPr>
          <w:rFonts w:eastAsiaTheme="minorEastAsia"/>
          <w:lang w:eastAsia="ja-JP"/>
        </w:rPr>
        <w:t xml:space="preserve"> (incurred)</w:t>
      </w:r>
    </w:p>
    <w:p w14:paraId="266EB23A"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$75,000 </w:t>
      </w:r>
      <w:r w:rsidRPr="00635E4B">
        <w:rPr>
          <w:rFonts w:eastAsiaTheme="minorEastAsia"/>
          <w:lang w:eastAsia="ja-JP"/>
        </w:rPr>
        <w:tab/>
      </w:r>
      <w:r w:rsidRPr="00635E4B">
        <w:rPr>
          <w:rFonts w:eastAsiaTheme="minorEastAsia"/>
          <w:lang w:eastAsia="ja-JP"/>
        </w:rPr>
        <w:tab/>
        <w:t>Fourth anniversary date</w:t>
      </w:r>
      <w:r>
        <w:rPr>
          <w:rFonts w:eastAsiaTheme="minorEastAsia"/>
          <w:lang w:eastAsia="ja-JP"/>
        </w:rPr>
        <w:t xml:space="preserve"> (incurred)</w:t>
      </w:r>
    </w:p>
    <w:p w14:paraId="7FB82219"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$100,000</w:t>
      </w:r>
      <w:r w:rsidRPr="00635E4B">
        <w:rPr>
          <w:rFonts w:eastAsiaTheme="minorEastAsia"/>
          <w:lang w:eastAsia="ja-JP"/>
        </w:rPr>
        <w:tab/>
      </w:r>
      <w:r>
        <w:rPr>
          <w:rFonts w:eastAsiaTheme="minorEastAsia"/>
          <w:lang w:eastAsia="ja-JP"/>
        </w:rPr>
        <w:tab/>
      </w:r>
      <w:r w:rsidRPr="00635E4B">
        <w:rPr>
          <w:rFonts w:eastAsiaTheme="minorEastAsia"/>
          <w:lang w:eastAsia="ja-JP"/>
        </w:rPr>
        <w:t>Fifth and each anniversary date thereafter</w:t>
      </w:r>
    </w:p>
    <w:p w14:paraId="560120C7" w14:textId="77777777" w:rsidR="00F336D0" w:rsidRPr="00635E4B" w:rsidRDefault="00F336D0" w:rsidP="00F336D0">
      <w:pPr>
        <w:jc w:val="both"/>
        <w:rPr>
          <w:rFonts w:eastAsiaTheme="minorEastAsia"/>
          <w:lang w:eastAsia="ja-JP"/>
        </w:rPr>
      </w:pPr>
    </w:p>
    <w:p w14:paraId="04534A56" w14:textId="77777777" w:rsidR="00F336D0" w:rsidRPr="00635E4B" w:rsidRDefault="00F336D0" w:rsidP="00F336D0">
      <w:pPr>
        <w:jc w:val="both"/>
        <w:rPr>
          <w:rFonts w:eastAsiaTheme="minorEastAsia"/>
          <w:lang w:eastAsia="ja-JP"/>
        </w:rPr>
      </w:pPr>
      <w:r w:rsidRPr="00635E4B">
        <w:rPr>
          <w:rFonts w:eastAsiaTheme="minorEastAsia"/>
          <w:lang w:eastAsia="ja-JP"/>
        </w:rPr>
        <w:t>The Company is also required to make Advance Minimum Royalty Payments to the Vendors until production of minerals is achieved as follows:</w:t>
      </w:r>
    </w:p>
    <w:p w14:paraId="0A578921" w14:textId="77777777" w:rsidR="00F336D0" w:rsidRPr="00635E4B" w:rsidRDefault="00F336D0" w:rsidP="00F336D0">
      <w:pPr>
        <w:ind w:firstLine="720"/>
        <w:jc w:val="both"/>
        <w:rPr>
          <w:rFonts w:eastAsiaTheme="minorEastAsia"/>
          <w:lang w:eastAsia="ja-JP"/>
        </w:rPr>
      </w:pPr>
    </w:p>
    <w:p w14:paraId="5B348031"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$10,000 </w:t>
      </w:r>
      <w:r w:rsidRPr="00635E4B">
        <w:rPr>
          <w:rFonts w:eastAsiaTheme="minorEastAsia"/>
          <w:lang w:eastAsia="ja-JP"/>
        </w:rPr>
        <w:tab/>
      </w:r>
      <w:r w:rsidRPr="00635E4B">
        <w:rPr>
          <w:rFonts w:eastAsiaTheme="minorEastAsia"/>
          <w:lang w:eastAsia="ja-JP"/>
        </w:rPr>
        <w:tab/>
        <w:t>Upon execution of the Lease</w:t>
      </w:r>
      <w:r>
        <w:rPr>
          <w:rFonts w:eastAsiaTheme="minorEastAsia"/>
          <w:lang w:eastAsia="ja-JP"/>
        </w:rPr>
        <w:t xml:space="preserve"> (paid)</w:t>
      </w:r>
    </w:p>
    <w:p w14:paraId="0826C367"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$15,000 </w:t>
      </w:r>
      <w:r w:rsidRPr="00635E4B">
        <w:rPr>
          <w:rFonts w:eastAsiaTheme="minorEastAsia"/>
          <w:lang w:eastAsia="ja-JP"/>
        </w:rPr>
        <w:tab/>
      </w:r>
      <w:r w:rsidRPr="00635E4B">
        <w:rPr>
          <w:rFonts w:eastAsiaTheme="minorEastAsia"/>
          <w:lang w:eastAsia="ja-JP"/>
        </w:rPr>
        <w:tab/>
        <w:t>First anniversary date</w:t>
      </w:r>
      <w:r>
        <w:rPr>
          <w:rFonts w:eastAsiaTheme="minorEastAsia"/>
          <w:lang w:eastAsia="ja-JP"/>
        </w:rPr>
        <w:t xml:space="preserve"> (paid)</w:t>
      </w:r>
    </w:p>
    <w:p w14:paraId="5222F399"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$25,000 </w:t>
      </w:r>
      <w:r w:rsidRPr="00635E4B">
        <w:rPr>
          <w:rFonts w:eastAsiaTheme="minorEastAsia"/>
          <w:lang w:eastAsia="ja-JP"/>
        </w:rPr>
        <w:tab/>
      </w:r>
      <w:r w:rsidRPr="00635E4B">
        <w:rPr>
          <w:rFonts w:eastAsiaTheme="minorEastAsia"/>
          <w:lang w:eastAsia="ja-JP"/>
        </w:rPr>
        <w:tab/>
        <w:t>Second anniversary date</w:t>
      </w:r>
      <w:r>
        <w:rPr>
          <w:rFonts w:eastAsiaTheme="minorEastAsia"/>
          <w:lang w:eastAsia="ja-JP"/>
        </w:rPr>
        <w:t xml:space="preserve"> (paid)</w:t>
      </w:r>
    </w:p>
    <w:p w14:paraId="21E822BB"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 xml:space="preserve">$35,000 </w:t>
      </w:r>
      <w:r w:rsidRPr="00635E4B">
        <w:rPr>
          <w:rFonts w:eastAsiaTheme="minorEastAsia"/>
          <w:lang w:eastAsia="ja-JP"/>
        </w:rPr>
        <w:tab/>
      </w:r>
      <w:r w:rsidRPr="00635E4B">
        <w:rPr>
          <w:rFonts w:eastAsiaTheme="minorEastAsia"/>
          <w:lang w:eastAsia="ja-JP"/>
        </w:rPr>
        <w:tab/>
        <w:t>Third anniversary date</w:t>
      </w:r>
      <w:r>
        <w:rPr>
          <w:rFonts w:eastAsiaTheme="minorEastAsia"/>
          <w:lang w:eastAsia="ja-JP"/>
        </w:rPr>
        <w:t xml:space="preserve"> (paid)</w:t>
      </w:r>
    </w:p>
    <w:p w14:paraId="618913DB"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$45,000</w:t>
      </w:r>
      <w:r w:rsidRPr="00635E4B">
        <w:rPr>
          <w:rFonts w:eastAsiaTheme="minorEastAsia"/>
          <w:lang w:eastAsia="ja-JP"/>
        </w:rPr>
        <w:tab/>
      </w:r>
      <w:r w:rsidRPr="00635E4B">
        <w:rPr>
          <w:rFonts w:eastAsiaTheme="minorEastAsia"/>
          <w:lang w:eastAsia="ja-JP"/>
        </w:rPr>
        <w:tab/>
        <w:t>Fourth anniversary date</w:t>
      </w:r>
      <w:r>
        <w:rPr>
          <w:rFonts w:eastAsiaTheme="minorEastAsia"/>
          <w:lang w:eastAsia="ja-JP"/>
        </w:rPr>
        <w:t xml:space="preserve"> (paid)</w:t>
      </w:r>
      <w:r w:rsidRPr="00635E4B">
        <w:rPr>
          <w:rFonts w:eastAsiaTheme="minorEastAsia"/>
          <w:lang w:eastAsia="ja-JP"/>
        </w:rPr>
        <w:t xml:space="preserve"> </w:t>
      </w:r>
    </w:p>
    <w:p w14:paraId="62CBB40A" w14:textId="77777777" w:rsidR="00F336D0" w:rsidRPr="00635E4B" w:rsidRDefault="00F336D0" w:rsidP="00F336D0">
      <w:pPr>
        <w:jc w:val="both"/>
        <w:rPr>
          <w:rFonts w:eastAsiaTheme="minorEastAsia"/>
          <w:lang w:eastAsia="ja-JP"/>
        </w:rPr>
      </w:pPr>
      <w:r>
        <w:rPr>
          <w:rFonts w:eastAsiaTheme="minorEastAsia"/>
          <w:lang w:eastAsia="ja-JP"/>
        </w:rPr>
        <w:t>US</w:t>
      </w:r>
      <w:r w:rsidRPr="00635E4B">
        <w:rPr>
          <w:rFonts w:eastAsiaTheme="minorEastAsia"/>
          <w:lang w:eastAsia="ja-JP"/>
        </w:rPr>
        <w:t>$50,000</w:t>
      </w:r>
      <w:r w:rsidRPr="00635E4B">
        <w:rPr>
          <w:rFonts w:eastAsiaTheme="minorEastAsia"/>
          <w:lang w:eastAsia="ja-JP"/>
        </w:rPr>
        <w:tab/>
      </w:r>
      <w:r w:rsidRPr="00635E4B">
        <w:rPr>
          <w:rFonts w:eastAsiaTheme="minorEastAsia"/>
          <w:lang w:eastAsia="ja-JP"/>
        </w:rPr>
        <w:tab/>
        <w:t xml:space="preserve">Fifth anniversary date and annually thereafter as long as the Lease remains in effect </w:t>
      </w:r>
    </w:p>
    <w:p w14:paraId="119B422F" w14:textId="77777777" w:rsidR="00EB1817" w:rsidRDefault="00EB1817" w:rsidP="00EB1817">
      <w:pPr>
        <w:jc w:val="both"/>
      </w:pPr>
    </w:p>
    <w:p w14:paraId="1A2FFF2E" w14:textId="77777777" w:rsidR="00F336D0" w:rsidRPr="00F336D0" w:rsidRDefault="00F336D0" w:rsidP="00F336D0">
      <w:pPr>
        <w:jc w:val="both"/>
        <w:rPr>
          <w:b/>
          <w:bCs/>
          <w:i/>
          <w:iCs/>
          <w:u w:val="single"/>
        </w:rPr>
      </w:pPr>
      <w:r w:rsidRPr="00F336D0">
        <w:rPr>
          <w:b/>
          <w:bCs/>
          <w:i/>
          <w:iCs/>
          <w:u w:val="single"/>
        </w:rPr>
        <w:t>Triple T Project (Nevada, USA)</w:t>
      </w:r>
    </w:p>
    <w:p w14:paraId="3E5D4F6B" w14:textId="77777777" w:rsidR="00F336D0" w:rsidRPr="00AC4E46" w:rsidRDefault="00F336D0" w:rsidP="00F336D0">
      <w:pPr>
        <w:jc w:val="both"/>
        <w:rPr>
          <w:b/>
          <w:bCs/>
        </w:rPr>
      </w:pPr>
    </w:p>
    <w:p w14:paraId="1CBC8F32" w14:textId="7B2C61DE" w:rsidR="00F336D0" w:rsidRDefault="00F336D0" w:rsidP="00F336D0">
      <w:pPr>
        <w:jc w:val="both"/>
      </w:pPr>
      <w:r>
        <w:t xml:space="preserve">During the year ended August 31, 2021, the </w:t>
      </w:r>
      <w:r w:rsidR="007755CA">
        <w:t xml:space="preserve">Company </w:t>
      </w:r>
      <w:r>
        <w:t>entered into a lease agreement for the Triple T Project located in Pershing County, Nevada and subject to a 2.5</w:t>
      </w:r>
      <w:r w:rsidRPr="00C1456B">
        <w:t>% NSR.</w:t>
      </w:r>
    </w:p>
    <w:p w14:paraId="08CE240B" w14:textId="77777777" w:rsidR="00F336D0" w:rsidRDefault="00F336D0" w:rsidP="00F336D0">
      <w:pPr>
        <w:jc w:val="both"/>
      </w:pPr>
    </w:p>
    <w:p w14:paraId="67497A48" w14:textId="77777777" w:rsidR="00F336D0" w:rsidRDefault="00F336D0" w:rsidP="00F336D0">
      <w:pPr>
        <w:jc w:val="both"/>
      </w:pPr>
      <w:r>
        <w:t>The annual lease payments are as follows:</w:t>
      </w:r>
    </w:p>
    <w:p w14:paraId="08E51685" w14:textId="77777777" w:rsidR="00F336D0" w:rsidRDefault="00F336D0" w:rsidP="00F336D0">
      <w:pPr>
        <w:jc w:val="both"/>
      </w:pPr>
    </w:p>
    <w:p w14:paraId="579D912E" w14:textId="77777777" w:rsidR="00F336D0" w:rsidRDefault="00F336D0" w:rsidP="00F336D0">
      <w:pPr>
        <w:pStyle w:val="ListParagraph"/>
        <w:widowControl/>
        <w:numPr>
          <w:ilvl w:val="0"/>
          <w:numId w:val="24"/>
        </w:numPr>
        <w:overflowPunct/>
        <w:autoSpaceDE/>
        <w:autoSpaceDN/>
        <w:adjustRightInd/>
        <w:ind w:left="0" w:firstLine="0"/>
        <w:jc w:val="both"/>
        <w:textAlignment w:val="auto"/>
        <w:rPr>
          <w:sz w:val="20"/>
        </w:rPr>
      </w:pPr>
      <w:r>
        <w:rPr>
          <w:sz w:val="20"/>
        </w:rPr>
        <w:t>U$15,000 on the first anniversary (paid)</w:t>
      </w:r>
    </w:p>
    <w:p w14:paraId="52D779A3" w14:textId="77777777" w:rsidR="00F336D0" w:rsidRDefault="00F336D0" w:rsidP="00F336D0">
      <w:pPr>
        <w:pStyle w:val="ListParagraph"/>
        <w:widowControl/>
        <w:numPr>
          <w:ilvl w:val="0"/>
          <w:numId w:val="24"/>
        </w:numPr>
        <w:overflowPunct/>
        <w:autoSpaceDE/>
        <w:autoSpaceDN/>
        <w:adjustRightInd/>
        <w:ind w:left="0" w:firstLine="0"/>
        <w:jc w:val="both"/>
        <w:textAlignment w:val="auto"/>
        <w:rPr>
          <w:sz w:val="20"/>
        </w:rPr>
      </w:pPr>
      <w:r>
        <w:rPr>
          <w:sz w:val="20"/>
        </w:rPr>
        <w:t>US$20,000 on the second anniversary (paid)</w:t>
      </w:r>
    </w:p>
    <w:p w14:paraId="2F623995" w14:textId="77777777" w:rsidR="00F336D0" w:rsidRDefault="00F336D0" w:rsidP="00F336D0">
      <w:pPr>
        <w:pStyle w:val="ListParagraph"/>
        <w:widowControl/>
        <w:numPr>
          <w:ilvl w:val="0"/>
          <w:numId w:val="24"/>
        </w:numPr>
        <w:overflowPunct/>
        <w:autoSpaceDE/>
        <w:autoSpaceDN/>
        <w:adjustRightInd/>
        <w:ind w:left="0" w:firstLine="0"/>
        <w:jc w:val="both"/>
        <w:textAlignment w:val="auto"/>
        <w:rPr>
          <w:sz w:val="20"/>
        </w:rPr>
      </w:pPr>
      <w:r>
        <w:rPr>
          <w:sz w:val="20"/>
        </w:rPr>
        <w:t>US$30,000 on the third anniversary</w:t>
      </w:r>
    </w:p>
    <w:p w14:paraId="6647DB06" w14:textId="77777777" w:rsidR="00F336D0" w:rsidRDefault="00F336D0" w:rsidP="00F336D0">
      <w:pPr>
        <w:pStyle w:val="ListParagraph"/>
        <w:widowControl/>
        <w:numPr>
          <w:ilvl w:val="0"/>
          <w:numId w:val="24"/>
        </w:numPr>
        <w:overflowPunct/>
        <w:autoSpaceDE/>
        <w:autoSpaceDN/>
        <w:adjustRightInd/>
        <w:ind w:left="0" w:firstLine="0"/>
        <w:jc w:val="both"/>
        <w:textAlignment w:val="auto"/>
        <w:rPr>
          <w:sz w:val="20"/>
        </w:rPr>
      </w:pPr>
      <w:r>
        <w:rPr>
          <w:sz w:val="20"/>
        </w:rPr>
        <w:t>US$40,000 on the fourth anniversary</w:t>
      </w:r>
    </w:p>
    <w:p w14:paraId="6DAA6379" w14:textId="77777777" w:rsidR="00F336D0" w:rsidRDefault="00F336D0" w:rsidP="00F336D0">
      <w:pPr>
        <w:pStyle w:val="ListParagraph"/>
        <w:widowControl/>
        <w:numPr>
          <w:ilvl w:val="0"/>
          <w:numId w:val="24"/>
        </w:numPr>
        <w:overflowPunct/>
        <w:autoSpaceDE/>
        <w:autoSpaceDN/>
        <w:adjustRightInd/>
        <w:ind w:left="0" w:firstLine="0"/>
        <w:jc w:val="both"/>
        <w:textAlignment w:val="auto"/>
        <w:rPr>
          <w:sz w:val="20"/>
        </w:rPr>
      </w:pPr>
      <w:r>
        <w:rPr>
          <w:sz w:val="20"/>
        </w:rPr>
        <w:t>US$ 50,000 on the fifth and subsequent anniversaries</w:t>
      </w:r>
    </w:p>
    <w:p w14:paraId="3CB7012F" w14:textId="77777777" w:rsidR="00F336D0" w:rsidRDefault="00F336D0" w:rsidP="00F336D0">
      <w:pPr>
        <w:jc w:val="both"/>
      </w:pPr>
    </w:p>
    <w:p w14:paraId="53B53506" w14:textId="77777777" w:rsidR="00F336D0" w:rsidRDefault="00F336D0" w:rsidP="00F336D0">
      <w:pPr>
        <w:jc w:val="both"/>
      </w:pPr>
      <w:r>
        <w:t>The annual work commitments are as follows:</w:t>
      </w:r>
    </w:p>
    <w:p w14:paraId="69C015EC" w14:textId="77777777" w:rsidR="00F336D0" w:rsidRDefault="00F336D0" w:rsidP="00F336D0">
      <w:pPr>
        <w:jc w:val="both"/>
      </w:pPr>
    </w:p>
    <w:p w14:paraId="0915EA69" w14:textId="77777777" w:rsidR="00F336D0" w:rsidRDefault="00F336D0" w:rsidP="00F336D0">
      <w:pPr>
        <w:pStyle w:val="ListParagraph"/>
        <w:widowControl/>
        <w:numPr>
          <w:ilvl w:val="0"/>
          <w:numId w:val="25"/>
        </w:numPr>
        <w:overflowPunct/>
        <w:autoSpaceDE/>
        <w:autoSpaceDN/>
        <w:adjustRightInd/>
        <w:ind w:left="0" w:firstLine="0"/>
        <w:jc w:val="both"/>
        <w:textAlignment w:val="auto"/>
        <w:rPr>
          <w:sz w:val="20"/>
        </w:rPr>
      </w:pPr>
      <w:r>
        <w:rPr>
          <w:sz w:val="20"/>
        </w:rPr>
        <w:t>US$25,000 on the first anniversary (incurred)</w:t>
      </w:r>
    </w:p>
    <w:p w14:paraId="28CE724C" w14:textId="77777777" w:rsidR="00F336D0" w:rsidRDefault="00F336D0" w:rsidP="00F336D0">
      <w:pPr>
        <w:pStyle w:val="ListParagraph"/>
        <w:widowControl/>
        <w:numPr>
          <w:ilvl w:val="0"/>
          <w:numId w:val="25"/>
        </w:numPr>
        <w:overflowPunct/>
        <w:autoSpaceDE/>
        <w:autoSpaceDN/>
        <w:adjustRightInd/>
        <w:ind w:left="0" w:firstLine="0"/>
        <w:jc w:val="both"/>
        <w:textAlignment w:val="auto"/>
        <w:rPr>
          <w:sz w:val="20"/>
        </w:rPr>
      </w:pPr>
      <w:r>
        <w:rPr>
          <w:sz w:val="20"/>
        </w:rPr>
        <w:t>US$50,000 on the second anniversary (incurred)</w:t>
      </w:r>
    </w:p>
    <w:p w14:paraId="13039146" w14:textId="77777777" w:rsidR="00F336D0" w:rsidRDefault="00F336D0" w:rsidP="00F336D0">
      <w:pPr>
        <w:pStyle w:val="ListParagraph"/>
        <w:widowControl/>
        <w:numPr>
          <w:ilvl w:val="0"/>
          <w:numId w:val="25"/>
        </w:numPr>
        <w:overflowPunct/>
        <w:autoSpaceDE/>
        <w:autoSpaceDN/>
        <w:adjustRightInd/>
        <w:ind w:left="0" w:firstLine="0"/>
        <w:jc w:val="both"/>
        <w:textAlignment w:val="auto"/>
        <w:rPr>
          <w:sz w:val="20"/>
        </w:rPr>
      </w:pPr>
      <w:r>
        <w:rPr>
          <w:sz w:val="20"/>
        </w:rPr>
        <w:t>US$75,000 on the third anniversary</w:t>
      </w:r>
    </w:p>
    <w:p w14:paraId="0AE8DEBC" w14:textId="77777777" w:rsidR="00F336D0" w:rsidRDefault="00F336D0" w:rsidP="00F336D0">
      <w:pPr>
        <w:pStyle w:val="ListParagraph"/>
        <w:widowControl/>
        <w:numPr>
          <w:ilvl w:val="0"/>
          <w:numId w:val="25"/>
        </w:numPr>
        <w:overflowPunct/>
        <w:autoSpaceDE/>
        <w:autoSpaceDN/>
        <w:adjustRightInd/>
        <w:ind w:left="0" w:firstLine="0"/>
        <w:jc w:val="both"/>
        <w:textAlignment w:val="auto"/>
        <w:rPr>
          <w:sz w:val="20"/>
        </w:rPr>
      </w:pPr>
      <w:r>
        <w:rPr>
          <w:sz w:val="20"/>
        </w:rPr>
        <w:t>US$75,000 on the fourth anniversary</w:t>
      </w:r>
    </w:p>
    <w:p w14:paraId="22B57D88" w14:textId="77777777" w:rsidR="00F336D0" w:rsidRPr="00B318A0" w:rsidRDefault="00F336D0" w:rsidP="00F336D0">
      <w:pPr>
        <w:pStyle w:val="ListParagraph"/>
        <w:widowControl/>
        <w:numPr>
          <w:ilvl w:val="0"/>
          <w:numId w:val="25"/>
        </w:numPr>
        <w:overflowPunct/>
        <w:autoSpaceDE/>
        <w:autoSpaceDN/>
        <w:adjustRightInd/>
        <w:ind w:left="0" w:firstLine="0"/>
        <w:jc w:val="both"/>
        <w:textAlignment w:val="auto"/>
        <w:rPr>
          <w:sz w:val="20"/>
        </w:rPr>
      </w:pPr>
      <w:r>
        <w:rPr>
          <w:sz w:val="20"/>
        </w:rPr>
        <w:t>US$100,000 on the fifth and subsequent anniversaries</w:t>
      </w:r>
    </w:p>
    <w:p w14:paraId="28E1BA8B" w14:textId="77777777" w:rsidR="00F336D0" w:rsidRDefault="00F336D0" w:rsidP="00EB1817">
      <w:pPr>
        <w:jc w:val="both"/>
      </w:pPr>
    </w:p>
    <w:p w14:paraId="439449BA" w14:textId="77777777" w:rsidR="00F336D0" w:rsidRPr="00F336D0" w:rsidRDefault="00F336D0" w:rsidP="00F336D0">
      <w:pPr>
        <w:jc w:val="both"/>
        <w:rPr>
          <w:b/>
          <w:i/>
          <w:iCs/>
          <w:u w:val="single"/>
        </w:rPr>
      </w:pPr>
      <w:r w:rsidRPr="00F336D0">
        <w:rPr>
          <w:b/>
          <w:i/>
          <w:iCs/>
          <w:u w:val="single"/>
        </w:rPr>
        <w:t xml:space="preserve">Other Projects </w:t>
      </w:r>
    </w:p>
    <w:p w14:paraId="2ADD33D9" w14:textId="77777777" w:rsidR="00F336D0" w:rsidRPr="009324C0" w:rsidRDefault="00F336D0" w:rsidP="00F336D0">
      <w:pPr>
        <w:ind w:firstLine="720"/>
        <w:jc w:val="both"/>
        <w:rPr>
          <w:bCs/>
        </w:rPr>
      </w:pPr>
    </w:p>
    <w:p w14:paraId="031AC60E" w14:textId="77777777" w:rsidR="00F336D0" w:rsidRPr="009324C0" w:rsidRDefault="00F336D0" w:rsidP="00F336D0">
      <w:pPr>
        <w:jc w:val="both"/>
        <w:rPr>
          <w:bCs/>
          <w:i/>
          <w:iCs/>
        </w:rPr>
      </w:pPr>
      <w:r w:rsidRPr="009324C0">
        <w:rPr>
          <w:bCs/>
          <w:i/>
          <w:iCs/>
        </w:rPr>
        <w:t>Redstar Nevada Properties (Nevada, USA)</w:t>
      </w:r>
    </w:p>
    <w:p w14:paraId="352CBFBC" w14:textId="77777777" w:rsidR="00F336D0" w:rsidRDefault="00F336D0" w:rsidP="00F336D0">
      <w:pPr>
        <w:jc w:val="both"/>
        <w:rPr>
          <w:b/>
        </w:rPr>
      </w:pPr>
    </w:p>
    <w:p w14:paraId="10C44F11" w14:textId="77777777" w:rsidR="00F336D0" w:rsidRPr="00E138CB" w:rsidRDefault="00F336D0" w:rsidP="00F336D0">
      <w:pPr>
        <w:tabs>
          <w:tab w:val="left" w:pos="0"/>
          <w:tab w:val="left" w:pos="990"/>
        </w:tabs>
        <w:jc w:val="both"/>
      </w:pPr>
      <w:r w:rsidRPr="00E138CB">
        <w:t>On September 29, 2016 the Company completed its acquisition of the Nevada assets of Redstar Gold Corp. (“Redstar”) according to the detailed terms of the agreement (the “Purchase Agreement”)</w:t>
      </w:r>
      <w:r>
        <w:t>.</w:t>
      </w:r>
      <w:r w:rsidRPr="00E138CB">
        <w:t xml:space="preserve"> These assets consist of a 100% interest in 11 exploration projects in Nevada</w:t>
      </w:r>
      <w:r>
        <w:t xml:space="preserve"> (“Redstar Nevada Properties”)</w:t>
      </w:r>
      <w:r w:rsidRPr="00E138CB">
        <w:t xml:space="preserve">, 4 of which are subject to NSRs, as well as the AngloGold-Ashanti database (the “Database”). </w:t>
      </w:r>
    </w:p>
    <w:p w14:paraId="5619F965" w14:textId="77777777" w:rsidR="00F336D0" w:rsidRPr="00761188" w:rsidRDefault="00F336D0" w:rsidP="00F336D0">
      <w:pPr>
        <w:tabs>
          <w:tab w:val="left" w:pos="0"/>
          <w:tab w:val="left" w:pos="990"/>
        </w:tabs>
        <w:jc w:val="both"/>
      </w:pPr>
    </w:p>
    <w:p w14:paraId="3D8176B3" w14:textId="77777777" w:rsidR="00F336D0" w:rsidRDefault="00F336D0" w:rsidP="00F336D0">
      <w:pPr>
        <w:tabs>
          <w:tab w:val="left" w:pos="0"/>
          <w:tab w:val="left" w:pos="990"/>
        </w:tabs>
        <w:jc w:val="both"/>
      </w:pPr>
      <w:r w:rsidRPr="00C3454A">
        <w:lastRenderedPageBreak/>
        <w:t xml:space="preserve">The Company acquired the Database and the 11 </w:t>
      </w:r>
      <w:r>
        <w:t>Redstar</w:t>
      </w:r>
      <w:r w:rsidRPr="00C3454A">
        <w:t xml:space="preserve"> Properties by issuing to Redstar a total of 6,172,730 common shares of the Company, resulting in Redstar owning 29.9% of the Company’s outstanding common shares upon completion of the transaction. The shares were valued at $2,160,455. Of this value, </w:t>
      </w:r>
      <w:r w:rsidRPr="001657C2">
        <w:t>$1,692,357 ($342,072 allocated to the Cooks Creek Project) was recognized as exploration and evaluation assets acquisition costs and $468,098 was recognized as geological database expense and charged to operations during the year ended August</w:t>
      </w:r>
      <w:r w:rsidRPr="00C3454A">
        <w:t xml:space="preserve"> 31, 2017.</w:t>
      </w:r>
    </w:p>
    <w:p w14:paraId="3B8BB661" w14:textId="77777777" w:rsidR="005A7BED" w:rsidRDefault="005A7BED" w:rsidP="00F336D0">
      <w:pPr>
        <w:jc w:val="both"/>
      </w:pPr>
    </w:p>
    <w:p w14:paraId="46BAA31C" w14:textId="56C76C1F" w:rsidR="00F336D0" w:rsidRPr="00756FD3" w:rsidRDefault="00F336D0" w:rsidP="00F336D0">
      <w:pPr>
        <w:jc w:val="both"/>
      </w:pPr>
      <w:r w:rsidRPr="007353BF">
        <w:t xml:space="preserve">The </w:t>
      </w:r>
      <w:r>
        <w:t>Redstar</w:t>
      </w:r>
      <w:r w:rsidRPr="007353BF">
        <w:t xml:space="preserve"> </w:t>
      </w:r>
      <w:r w:rsidR="00E31CB1">
        <w:t xml:space="preserve">Nevada </w:t>
      </w:r>
      <w:r w:rsidRPr="007353BF">
        <w:t xml:space="preserve">Properties are </w:t>
      </w:r>
      <w:r>
        <w:t xml:space="preserve">currently </w:t>
      </w:r>
      <w:r w:rsidRPr="007353BF">
        <w:t>comprised of the following projects:</w:t>
      </w:r>
    </w:p>
    <w:p w14:paraId="01105140" w14:textId="77777777" w:rsidR="00F336D0" w:rsidRPr="00756FD3" w:rsidRDefault="00F336D0" w:rsidP="00F336D0">
      <w:pPr>
        <w:jc w:val="both"/>
      </w:pPr>
    </w:p>
    <w:tbl>
      <w:tblPr>
        <w:tblW w:w="0" w:type="auto"/>
        <w:tblLayout w:type="fixed"/>
        <w:tblLook w:val="0000" w:firstRow="0" w:lastRow="0" w:firstColumn="0" w:lastColumn="0" w:noHBand="0" w:noVBand="0"/>
      </w:tblPr>
      <w:tblGrid>
        <w:gridCol w:w="6907"/>
        <w:gridCol w:w="1152"/>
        <w:gridCol w:w="2006"/>
      </w:tblGrid>
      <w:tr w:rsidR="00F336D0" w:rsidRPr="00756FD3" w14:paraId="2088DD79" w14:textId="77777777" w:rsidTr="008864C1">
        <w:tc>
          <w:tcPr>
            <w:tcW w:w="6907" w:type="dxa"/>
            <w:tcBorders>
              <w:top w:val="double" w:sz="6" w:space="0" w:color="auto"/>
            </w:tcBorders>
          </w:tcPr>
          <w:p w14:paraId="6A09C330" w14:textId="77777777" w:rsidR="00F336D0" w:rsidRPr="00756FD3" w:rsidRDefault="00F336D0" w:rsidP="00F336D0">
            <w:pPr>
              <w:tabs>
                <w:tab w:val="left" w:pos="252"/>
                <w:tab w:val="left" w:pos="522"/>
                <w:tab w:val="left" w:pos="7459"/>
                <w:tab w:val="decimal" w:pos="8467"/>
                <w:tab w:val="left" w:pos="8726"/>
                <w:tab w:val="decimal" w:pos="9734"/>
              </w:tabs>
              <w:jc w:val="both"/>
              <w:rPr>
                <w:b/>
                <w:lang w:val="en-GB"/>
              </w:rPr>
            </w:pPr>
          </w:p>
        </w:tc>
        <w:tc>
          <w:tcPr>
            <w:tcW w:w="1152" w:type="dxa"/>
            <w:tcBorders>
              <w:top w:val="double" w:sz="6" w:space="0" w:color="auto"/>
            </w:tcBorders>
          </w:tcPr>
          <w:p w14:paraId="1391F876" w14:textId="77777777" w:rsidR="00F336D0" w:rsidRPr="00756FD3" w:rsidRDefault="00F336D0" w:rsidP="00F336D0">
            <w:pPr>
              <w:tabs>
                <w:tab w:val="decimal" w:pos="907"/>
                <w:tab w:val="left" w:pos="7459"/>
                <w:tab w:val="decimal" w:pos="8467"/>
                <w:tab w:val="left" w:pos="8726"/>
                <w:tab w:val="decimal" w:pos="9734"/>
              </w:tabs>
              <w:jc w:val="right"/>
              <w:rPr>
                <w:highlight w:val="yellow"/>
                <w:lang w:val="en-GB"/>
              </w:rPr>
            </w:pPr>
          </w:p>
        </w:tc>
        <w:tc>
          <w:tcPr>
            <w:tcW w:w="2006" w:type="dxa"/>
            <w:tcBorders>
              <w:top w:val="double" w:sz="6" w:space="0" w:color="auto"/>
            </w:tcBorders>
          </w:tcPr>
          <w:p w14:paraId="61F574A6" w14:textId="77777777" w:rsidR="00F336D0" w:rsidRPr="00756FD3" w:rsidRDefault="00F336D0" w:rsidP="00F336D0">
            <w:pPr>
              <w:tabs>
                <w:tab w:val="decimal" w:pos="936"/>
                <w:tab w:val="left" w:pos="7459"/>
                <w:tab w:val="decimal" w:pos="8467"/>
                <w:tab w:val="left" w:pos="8726"/>
                <w:tab w:val="decimal" w:pos="9734"/>
              </w:tabs>
              <w:jc w:val="right"/>
              <w:rPr>
                <w:lang w:val="en-GB"/>
              </w:rPr>
            </w:pPr>
            <w:r w:rsidRPr="00756FD3">
              <w:rPr>
                <w:lang w:val="en-GB"/>
              </w:rPr>
              <w:t>County in</w:t>
            </w:r>
          </w:p>
        </w:tc>
      </w:tr>
      <w:tr w:rsidR="00F336D0" w:rsidRPr="00756FD3" w14:paraId="54EAFB95" w14:textId="77777777" w:rsidTr="008864C1">
        <w:tc>
          <w:tcPr>
            <w:tcW w:w="6907" w:type="dxa"/>
          </w:tcPr>
          <w:p w14:paraId="3DA52447" w14:textId="77777777" w:rsidR="00F336D0" w:rsidRPr="00756FD3" w:rsidRDefault="00F336D0" w:rsidP="00F336D0">
            <w:pPr>
              <w:tabs>
                <w:tab w:val="left" w:pos="252"/>
                <w:tab w:val="left" w:pos="522"/>
                <w:tab w:val="left" w:pos="7459"/>
                <w:tab w:val="decimal" w:pos="8467"/>
                <w:tab w:val="left" w:pos="8726"/>
                <w:tab w:val="decimal" w:pos="9734"/>
              </w:tabs>
              <w:jc w:val="both"/>
              <w:rPr>
                <w:b/>
                <w:lang w:val="en-GB"/>
              </w:rPr>
            </w:pPr>
          </w:p>
        </w:tc>
        <w:tc>
          <w:tcPr>
            <w:tcW w:w="1152" w:type="dxa"/>
          </w:tcPr>
          <w:p w14:paraId="036D8FEA" w14:textId="77777777" w:rsidR="00F336D0" w:rsidRPr="00F70A14" w:rsidRDefault="00F336D0" w:rsidP="00F336D0">
            <w:pPr>
              <w:tabs>
                <w:tab w:val="decimal" w:pos="907"/>
                <w:tab w:val="left" w:pos="7459"/>
                <w:tab w:val="decimal" w:pos="8467"/>
                <w:tab w:val="left" w:pos="8726"/>
                <w:tab w:val="decimal" w:pos="9734"/>
              </w:tabs>
              <w:jc w:val="right"/>
              <w:rPr>
                <w:lang w:val="en-GB"/>
              </w:rPr>
            </w:pPr>
          </w:p>
        </w:tc>
        <w:tc>
          <w:tcPr>
            <w:tcW w:w="2006" w:type="dxa"/>
          </w:tcPr>
          <w:p w14:paraId="1D36A880" w14:textId="77777777" w:rsidR="00F336D0" w:rsidRPr="00756FD3" w:rsidRDefault="00F336D0" w:rsidP="00F336D0">
            <w:pPr>
              <w:tabs>
                <w:tab w:val="decimal" w:pos="936"/>
                <w:tab w:val="left" w:pos="7459"/>
                <w:tab w:val="decimal" w:pos="8467"/>
                <w:tab w:val="left" w:pos="8726"/>
                <w:tab w:val="decimal" w:pos="9734"/>
              </w:tabs>
              <w:jc w:val="right"/>
              <w:rPr>
                <w:lang w:val="en-GB"/>
              </w:rPr>
            </w:pPr>
            <w:r w:rsidRPr="00756FD3">
              <w:rPr>
                <w:lang w:val="en-GB"/>
              </w:rPr>
              <w:t xml:space="preserve">State of </w:t>
            </w:r>
          </w:p>
        </w:tc>
      </w:tr>
      <w:tr w:rsidR="00F336D0" w:rsidRPr="00756FD3" w14:paraId="3A269D84" w14:textId="77777777" w:rsidTr="008864C1">
        <w:tc>
          <w:tcPr>
            <w:tcW w:w="6907" w:type="dxa"/>
            <w:tcBorders>
              <w:bottom w:val="single" w:sz="6" w:space="0" w:color="auto"/>
            </w:tcBorders>
          </w:tcPr>
          <w:p w14:paraId="55C26F19" w14:textId="77777777" w:rsidR="00F336D0" w:rsidRPr="00756FD3" w:rsidRDefault="00F336D0" w:rsidP="00F336D0">
            <w:pPr>
              <w:tabs>
                <w:tab w:val="left" w:pos="252"/>
                <w:tab w:val="left" w:pos="522"/>
                <w:tab w:val="left" w:pos="7459"/>
                <w:tab w:val="decimal" w:pos="8467"/>
                <w:tab w:val="left" w:pos="8726"/>
                <w:tab w:val="decimal" w:pos="9734"/>
              </w:tabs>
              <w:jc w:val="both"/>
              <w:rPr>
                <w:b/>
                <w:lang w:val="en-GB"/>
              </w:rPr>
            </w:pPr>
            <w:r w:rsidRPr="00756FD3">
              <w:rPr>
                <w:b/>
                <w:lang w:val="en-GB"/>
              </w:rPr>
              <w:t>Project Name</w:t>
            </w:r>
          </w:p>
        </w:tc>
        <w:tc>
          <w:tcPr>
            <w:tcW w:w="1152" w:type="dxa"/>
            <w:tcBorders>
              <w:bottom w:val="single" w:sz="6" w:space="0" w:color="auto"/>
            </w:tcBorders>
          </w:tcPr>
          <w:p w14:paraId="1F2D0879" w14:textId="77777777" w:rsidR="00F336D0" w:rsidRPr="00F70A14" w:rsidRDefault="00F336D0" w:rsidP="00F336D0">
            <w:pPr>
              <w:tabs>
                <w:tab w:val="decimal" w:pos="907"/>
                <w:tab w:val="left" w:pos="7459"/>
                <w:tab w:val="decimal" w:pos="8467"/>
                <w:tab w:val="left" w:pos="8726"/>
                <w:tab w:val="decimal" w:pos="9734"/>
              </w:tabs>
              <w:jc w:val="right"/>
              <w:rPr>
                <w:lang w:val="en-GB"/>
              </w:rPr>
            </w:pPr>
          </w:p>
        </w:tc>
        <w:tc>
          <w:tcPr>
            <w:tcW w:w="2006" w:type="dxa"/>
            <w:tcBorders>
              <w:bottom w:val="single" w:sz="6" w:space="0" w:color="auto"/>
            </w:tcBorders>
          </w:tcPr>
          <w:p w14:paraId="1DAABD23" w14:textId="77777777" w:rsidR="00F336D0" w:rsidRPr="00756FD3" w:rsidRDefault="00F336D0" w:rsidP="00F336D0">
            <w:pPr>
              <w:tabs>
                <w:tab w:val="decimal" w:pos="936"/>
                <w:tab w:val="left" w:pos="7459"/>
                <w:tab w:val="decimal" w:pos="8467"/>
                <w:tab w:val="left" w:pos="8726"/>
                <w:tab w:val="decimal" w:pos="9734"/>
              </w:tabs>
              <w:jc w:val="right"/>
              <w:rPr>
                <w:lang w:val="en-GB"/>
              </w:rPr>
            </w:pPr>
            <w:r w:rsidRPr="00756FD3">
              <w:rPr>
                <w:lang w:val="en-GB"/>
              </w:rPr>
              <w:t xml:space="preserve">Nevada </w:t>
            </w:r>
          </w:p>
        </w:tc>
      </w:tr>
      <w:tr w:rsidR="00F336D0" w:rsidRPr="00756FD3" w14:paraId="0663CD25" w14:textId="77777777" w:rsidTr="008864C1">
        <w:tc>
          <w:tcPr>
            <w:tcW w:w="6907" w:type="dxa"/>
            <w:tcBorders>
              <w:top w:val="single" w:sz="6" w:space="0" w:color="auto"/>
            </w:tcBorders>
          </w:tcPr>
          <w:p w14:paraId="76759476" w14:textId="77777777" w:rsidR="00F336D0" w:rsidRPr="00756FD3" w:rsidRDefault="00F336D0" w:rsidP="00F336D0">
            <w:pPr>
              <w:tabs>
                <w:tab w:val="left" w:pos="252"/>
                <w:tab w:val="left" w:pos="522"/>
                <w:tab w:val="left" w:pos="7459"/>
                <w:tab w:val="decimal" w:pos="8467"/>
                <w:tab w:val="left" w:pos="8726"/>
                <w:tab w:val="decimal" w:pos="9734"/>
              </w:tabs>
              <w:ind w:left="-109"/>
              <w:jc w:val="both"/>
              <w:rPr>
                <w:lang w:val="en-GB"/>
              </w:rPr>
            </w:pPr>
          </w:p>
        </w:tc>
        <w:tc>
          <w:tcPr>
            <w:tcW w:w="1152" w:type="dxa"/>
            <w:tcBorders>
              <w:top w:val="single" w:sz="6" w:space="0" w:color="auto"/>
            </w:tcBorders>
          </w:tcPr>
          <w:p w14:paraId="17CD65F6"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Borders>
              <w:top w:val="single" w:sz="6" w:space="0" w:color="auto"/>
            </w:tcBorders>
          </w:tcPr>
          <w:p w14:paraId="3DCD41D8" w14:textId="77777777" w:rsidR="00F336D0" w:rsidRPr="00756FD3" w:rsidRDefault="00F336D0" w:rsidP="00F336D0">
            <w:pPr>
              <w:tabs>
                <w:tab w:val="decimal" w:pos="936"/>
                <w:tab w:val="left" w:pos="7459"/>
                <w:tab w:val="decimal" w:pos="8467"/>
                <w:tab w:val="left" w:pos="8726"/>
                <w:tab w:val="decimal" w:pos="9734"/>
              </w:tabs>
              <w:ind w:right="-212"/>
              <w:rPr>
                <w:lang w:val="en-GB"/>
              </w:rPr>
            </w:pPr>
          </w:p>
        </w:tc>
      </w:tr>
      <w:tr w:rsidR="00F336D0" w:rsidRPr="00756FD3" w14:paraId="698C89F9" w14:textId="77777777" w:rsidTr="008864C1">
        <w:tc>
          <w:tcPr>
            <w:tcW w:w="6907" w:type="dxa"/>
          </w:tcPr>
          <w:p w14:paraId="3DC1B778"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Gold Cloud</w:t>
            </w:r>
          </w:p>
        </w:tc>
        <w:tc>
          <w:tcPr>
            <w:tcW w:w="1152" w:type="dxa"/>
          </w:tcPr>
          <w:p w14:paraId="4BA844D2"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1164F80B" w14:textId="77777777" w:rsidR="00F336D0" w:rsidRPr="00756FD3" w:rsidRDefault="00F336D0" w:rsidP="00F336D0">
            <w:pPr>
              <w:tabs>
                <w:tab w:val="decimal" w:pos="936"/>
                <w:tab w:val="left" w:pos="7459"/>
                <w:tab w:val="decimal" w:pos="8467"/>
                <w:tab w:val="left" w:pos="8726"/>
                <w:tab w:val="decimal" w:pos="9734"/>
              </w:tabs>
              <w:jc w:val="right"/>
              <w:rPr>
                <w:lang w:val="en-GB"/>
              </w:rPr>
            </w:pPr>
            <w:r w:rsidRPr="00756FD3">
              <w:rPr>
                <w:lang w:val="en-GB"/>
              </w:rPr>
              <w:tab/>
              <w:t>Eureka</w:t>
            </w:r>
          </w:p>
        </w:tc>
      </w:tr>
      <w:tr w:rsidR="00F336D0" w:rsidRPr="00756FD3" w14:paraId="08B7BB26" w14:textId="77777777" w:rsidTr="008864C1">
        <w:tc>
          <w:tcPr>
            <w:tcW w:w="6907" w:type="dxa"/>
          </w:tcPr>
          <w:p w14:paraId="4F95F657"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 xml:space="preserve">Larus </w:t>
            </w:r>
          </w:p>
        </w:tc>
        <w:tc>
          <w:tcPr>
            <w:tcW w:w="1152" w:type="dxa"/>
          </w:tcPr>
          <w:p w14:paraId="47183C20"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07C76D46" w14:textId="77777777" w:rsidR="00F336D0" w:rsidRPr="00756FD3" w:rsidRDefault="00F336D0" w:rsidP="00F336D0">
            <w:pPr>
              <w:tabs>
                <w:tab w:val="decimal" w:pos="950"/>
                <w:tab w:val="left" w:pos="7459"/>
                <w:tab w:val="decimal" w:pos="8467"/>
                <w:tab w:val="left" w:pos="8726"/>
                <w:tab w:val="decimal" w:pos="9734"/>
              </w:tabs>
              <w:jc w:val="right"/>
              <w:rPr>
                <w:lang w:val="en-GB"/>
              </w:rPr>
            </w:pPr>
            <w:r w:rsidRPr="00756FD3">
              <w:rPr>
                <w:lang w:val="en-GB"/>
              </w:rPr>
              <w:tab/>
              <w:t>Eureka</w:t>
            </w:r>
          </w:p>
        </w:tc>
      </w:tr>
      <w:tr w:rsidR="00F336D0" w:rsidRPr="00756FD3" w14:paraId="07D6C16A" w14:textId="77777777" w:rsidTr="008864C1">
        <w:tc>
          <w:tcPr>
            <w:tcW w:w="6907" w:type="dxa"/>
          </w:tcPr>
          <w:p w14:paraId="0B93546F"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Long Island</w:t>
            </w:r>
          </w:p>
        </w:tc>
        <w:tc>
          <w:tcPr>
            <w:tcW w:w="1152" w:type="dxa"/>
          </w:tcPr>
          <w:p w14:paraId="2E1ADF92"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57FFB52F" w14:textId="77777777" w:rsidR="00F336D0" w:rsidRPr="00756FD3" w:rsidRDefault="00F336D0" w:rsidP="00F336D0">
            <w:pPr>
              <w:tabs>
                <w:tab w:val="decimal" w:pos="936"/>
                <w:tab w:val="left" w:pos="7459"/>
                <w:tab w:val="decimal" w:pos="8467"/>
                <w:tab w:val="left" w:pos="8726"/>
                <w:tab w:val="decimal" w:pos="9734"/>
              </w:tabs>
              <w:jc w:val="right"/>
              <w:rPr>
                <w:lang w:val="en-GB"/>
              </w:rPr>
            </w:pPr>
            <w:r w:rsidRPr="00756FD3">
              <w:rPr>
                <w:lang w:val="en-GB"/>
              </w:rPr>
              <w:tab/>
              <w:t>Nye</w:t>
            </w:r>
          </w:p>
        </w:tc>
      </w:tr>
      <w:tr w:rsidR="00F336D0" w:rsidRPr="00756FD3" w14:paraId="0627A92A" w14:textId="77777777" w:rsidTr="008864C1">
        <w:tc>
          <w:tcPr>
            <w:tcW w:w="6907" w:type="dxa"/>
          </w:tcPr>
          <w:p w14:paraId="54C6C437"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Oasis</w:t>
            </w:r>
          </w:p>
        </w:tc>
        <w:tc>
          <w:tcPr>
            <w:tcW w:w="1152" w:type="dxa"/>
          </w:tcPr>
          <w:p w14:paraId="68626179"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21424397" w14:textId="77777777" w:rsidR="00F336D0" w:rsidRPr="00756FD3" w:rsidRDefault="00F336D0" w:rsidP="00F336D0">
            <w:pPr>
              <w:tabs>
                <w:tab w:val="decimal" w:pos="950"/>
                <w:tab w:val="left" w:pos="7459"/>
                <w:tab w:val="decimal" w:pos="8467"/>
                <w:tab w:val="left" w:pos="8726"/>
                <w:tab w:val="decimal" w:pos="9734"/>
              </w:tabs>
              <w:jc w:val="right"/>
              <w:rPr>
                <w:lang w:val="en-GB"/>
              </w:rPr>
            </w:pPr>
            <w:r w:rsidRPr="00756FD3">
              <w:rPr>
                <w:lang w:val="en-GB"/>
              </w:rPr>
              <w:tab/>
              <w:t>Esmeralda</w:t>
            </w:r>
          </w:p>
        </w:tc>
      </w:tr>
      <w:tr w:rsidR="00F336D0" w:rsidRPr="00756FD3" w14:paraId="698DFC77" w14:textId="77777777" w:rsidTr="008864C1">
        <w:tc>
          <w:tcPr>
            <w:tcW w:w="6907" w:type="dxa"/>
          </w:tcPr>
          <w:p w14:paraId="3A91514D"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Painted Hills</w:t>
            </w:r>
          </w:p>
        </w:tc>
        <w:tc>
          <w:tcPr>
            <w:tcW w:w="1152" w:type="dxa"/>
          </w:tcPr>
          <w:p w14:paraId="73E8D4C8"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4637E661" w14:textId="77777777" w:rsidR="00F336D0" w:rsidRPr="00756FD3" w:rsidRDefault="00F336D0" w:rsidP="00F336D0">
            <w:pPr>
              <w:tabs>
                <w:tab w:val="decimal" w:pos="936"/>
                <w:tab w:val="decimal" w:pos="1051"/>
                <w:tab w:val="left" w:pos="7459"/>
                <w:tab w:val="decimal" w:pos="8467"/>
                <w:tab w:val="left" w:pos="8726"/>
                <w:tab w:val="decimal" w:pos="9734"/>
              </w:tabs>
              <w:jc w:val="right"/>
              <w:rPr>
                <w:lang w:val="en-GB"/>
              </w:rPr>
            </w:pPr>
            <w:r w:rsidRPr="00756FD3">
              <w:rPr>
                <w:lang w:val="en-GB"/>
              </w:rPr>
              <w:tab/>
              <w:t>Humboldt</w:t>
            </w:r>
          </w:p>
        </w:tc>
      </w:tr>
      <w:tr w:rsidR="00F336D0" w:rsidRPr="00756FD3" w14:paraId="65350C1D" w14:textId="77777777" w:rsidTr="008864C1">
        <w:tc>
          <w:tcPr>
            <w:tcW w:w="6907" w:type="dxa"/>
          </w:tcPr>
          <w:p w14:paraId="071B4A49"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Queens</w:t>
            </w:r>
          </w:p>
        </w:tc>
        <w:tc>
          <w:tcPr>
            <w:tcW w:w="1152" w:type="dxa"/>
          </w:tcPr>
          <w:p w14:paraId="3CFD78F5"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63162FCF" w14:textId="77777777" w:rsidR="00F336D0" w:rsidRPr="00756FD3" w:rsidRDefault="00F336D0" w:rsidP="00F336D0">
            <w:pPr>
              <w:tabs>
                <w:tab w:val="decimal" w:pos="936"/>
                <w:tab w:val="decimal" w:pos="1051"/>
                <w:tab w:val="left" w:pos="7459"/>
                <w:tab w:val="decimal" w:pos="8467"/>
                <w:tab w:val="left" w:pos="8726"/>
                <w:tab w:val="decimal" w:pos="9734"/>
              </w:tabs>
              <w:jc w:val="right"/>
              <w:rPr>
                <w:lang w:val="en-GB"/>
              </w:rPr>
            </w:pPr>
            <w:r w:rsidRPr="00756FD3">
              <w:rPr>
                <w:lang w:val="en-GB"/>
              </w:rPr>
              <w:tab/>
              <w:t>Nye</w:t>
            </w:r>
          </w:p>
        </w:tc>
      </w:tr>
      <w:tr w:rsidR="00F336D0" w:rsidRPr="00756FD3" w14:paraId="46D4B346" w14:textId="77777777" w:rsidTr="008864C1">
        <w:tc>
          <w:tcPr>
            <w:tcW w:w="6907" w:type="dxa"/>
          </w:tcPr>
          <w:p w14:paraId="3F1E8E4D"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 xml:space="preserve">Richmond Summit </w:t>
            </w:r>
          </w:p>
        </w:tc>
        <w:tc>
          <w:tcPr>
            <w:tcW w:w="1152" w:type="dxa"/>
          </w:tcPr>
          <w:p w14:paraId="1245EAAE"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1F48CC5C" w14:textId="77777777" w:rsidR="00F336D0" w:rsidRPr="00756FD3" w:rsidRDefault="00F336D0" w:rsidP="00F336D0">
            <w:pPr>
              <w:tabs>
                <w:tab w:val="decimal" w:pos="936"/>
                <w:tab w:val="decimal" w:pos="1051"/>
                <w:tab w:val="left" w:pos="7459"/>
                <w:tab w:val="decimal" w:pos="8467"/>
                <w:tab w:val="left" w:pos="8726"/>
                <w:tab w:val="decimal" w:pos="9734"/>
              </w:tabs>
              <w:jc w:val="right"/>
              <w:rPr>
                <w:lang w:val="en-GB"/>
              </w:rPr>
            </w:pPr>
            <w:r w:rsidRPr="00756FD3">
              <w:rPr>
                <w:lang w:val="en-GB"/>
              </w:rPr>
              <w:tab/>
              <w:t>Eureka</w:t>
            </w:r>
          </w:p>
        </w:tc>
      </w:tr>
      <w:tr w:rsidR="00F336D0" w:rsidRPr="00756FD3" w14:paraId="3A51CE5C" w14:textId="77777777" w:rsidTr="008864C1">
        <w:tc>
          <w:tcPr>
            <w:tcW w:w="6907" w:type="dxa"/>
          </w:tcPr>
          <w:p w14:paraId="68EE53B4"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Root Spring</w:t>
            </w:r>
          </w:p>
        </w:tc>
        <w:tc>
          <w:tcPr>
            <w:tcW w:w="1152" w:type="dxa"/>
          </w:tcPr>
          <w:p w14:paraId="1A0E00FA" w14:textId="77777777" w:rsidR="00F336D0" w:rsidRPr="00F70A14" w:rsidRDefault="00F336D0" w:rsidP="00F336D0">
            <w:pPr>
              <w:tabs>
                <w:tab w:val="decimal" w:pos="907"/>
                <w:tab w:val="decimal" w:pos="1166"/>
                <w:tab w:val="left" w:pos="7459"/>
                <w:tab w:val="decimal" w:pos="8467"/>
                <w:tab w:val="left" w:pos="8726"/>
                <w:tab w:val="decimal" w:pos="9734"/>
              </w:tabs>
              <w:ind w:right="-212"/>
              <w:rPr>
                <w:lang w:val="en-GB"/>
              </w:rPr>
            </w:pPr>
          </w:p>
        </w:tc>
        <w:tc>
          <w:tcPr>
            <w:tcW w:w="2006" w:type="dxa"/>
          </w:tcPr>
          <w:p w14:paraId="26482F78" w14:textId="77777777" w:rsidR="00F336D0" w:rsidRPr="00756FD3" w:rsidRDefault="00F336D0" w:rsidP="00F336D0">
            <w:pPr>
              <w:tabs>
                <w:tab w:val="decimal" w:pos="932"/>
                <w:tab w:val="decimal" w:pos="1051"/>
                <w:tab w:val="left" w:pos="7459"/>
                <w:tab w:val="decimal" w:pos="8467"/>
                <w:tab w:val="left" w:pos="8726"/>
                <w:tab w:val="decimal" w:pos="9734"/>
              </w:tabs>
              <w:jc w:val="right"/>
              <w:rPr>
                <w:lang w:val="en-GB"/>
              </w:rPr>
            </w:pPr>
            <w:r w:rsidRPr="00756FD3">
              <w:rPr>
                <w:lang w:val="en-GB"/>
              </w:rPr>
              <w:tab/>
              <w:t>Pershing</w:t>
            </w:r>
          </w:p>
        </w:tc>
      </w:tr>
      <w:tr w:rsidR="00F336D0" w:rsidRPr="00756FD3" w14:paraId="5C75D5C7" w14:textId="77777777" w:rsidTr="008864C1">
        <w:tc>
          <w:tcPr>
            <w:tcW w:w="6907" w:type="dxa"/>
          </w:tcPr>
          <w:p w14:paraId="6F666900"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r w:rsidRPr="00756FD3">
              <w:rPr>
                <w:lang w:val="en-GB"/>
              </w:rPr>
              <w:t>Seven Devils</w:t>
            </w:r>
          </w:p>
        </w:tc>
        <w:tc>
          <w:tcPr>
            <w:tcW w:w="1152" w:type="dxa"/>
          </w:tcPr>
          <w:p w14:paraId="46D70D13" w14:textId="77777777" w:rsidR="00F336D0" w:rsidRPr="00F70A14" w:rsidRDefault="00F336D0" w:rsidP="00F336D0">
            <w:pPr>
              <w:tabs>
                <w:tab w:val="decimal" w:pos="907"/>
                <w:tab w:val="decimal" w:pos="1166"/>
                <w:tab w:val="left" w:pos="7459"/>
                <w:tab w:val="decimal" w:pos="8467"/>
                <w:tab w:val="left" w:pos="8726"/>
                <w:tab w:val="decimal" w:pos="9734"/>
              </w:tabs>
              <w:ind w:right="-212"/>
              <w:rPr>
                <w:u w:val="single"/>
                <w:lang w:val="en-GB"/>
              </w:rPr>
            </w:pPr>
          </w:p>
        </w:tc>
        <w:tc>
          <w:tcPr>
            <w:tcW w:w="2006" w:type="dxa"/>
          </w:tcPr>
          <w:p w14:paraId="431D7748" w14:textId="77777777" w:rsidR="00F336D0" w:rsidRPr="00756FD3" w:rsidRDefault="00F336D0" w:rsidP="00F336D0">
            <w:pPr>
              <w:tabs>
                <w:tab w:val="decimal" w:pos="932"/>
                <w:tab w:val="decimal" w:pos="1051"/>
                <w:tab w:val="left" w:pos="7459"/>
                <w:tab w:val="decimal" w:pos="8467"/>
                <w:tab w:val="left" w:pos="8726"/>
                <w:tab w:val="decimal" w:pos="9734"/>
              </w:tabs>
              <w:jc w:val="right"/>
              <w:rPr>
                <w:lang w:val="en-GB"/>
              </w:rPr>
            </w:pPr>
            <w:r w:rsidRPr="00756FD3">
              <w:rPr>
                <w:lang w:val="en-GB"/>
              </w:rPr>
              <w:tab/>
              <w:t>Pershing</w:t>
            </w:r>
          </w:p>
        </w:tc>
      </w:tr>
      <w:tr w:rsidR="00F336D0" w:rsidRPr="00756FD3" w14:paraId="21607B7F" w14:textId="77777777" w:rsidTr="008864C1">
        <w:tc>
          <w:tcPr>
            <w:tcW w:w="6907" w:type="dxa"/>
            <w:tcBorders>
              <w:bottom w:val="double" w:sz="4" w:space="0" w:color="auto"/>
            </w:tcBorders>
          </w:tcPr>
          <w:p w14:paraId="2F971E38" w14:textId="77777777" w:rsidR="00F336D0" w:rsidRPr="00756FD3" w:rsidRDefault="00F336D0" w:rsidP="00F336D0">
            <w:pPr>
              <w:keepNext/>
              <w:tabs>
                <w:tab w:val="left" w:pos="252"/>
                <w:tab w:val="left" w:pos="522"/>
                <w:tab w:val="left" w:pos="7459"/>
                <w:tab w:val="decimal" w:pos="8467"/>
                <w:tab w:val="left" w:pos="8726"/>
                <w:tab w:val="decimal" w:pos="9734"/>
              </w:tabs>
              <w:jc w:val="both"/>
              <w:outlineLvl w:val="1"/>
              <w:rPr>
                <w:lang w:val="en-GB"/>
              </w:rPr>
            </w:pPr>
          </w:p>
        </w:tc>
        <w:tc>
          <w:tcPr>
            <w:tcW w:w="1152" w:type="dxa"/>
            <w:tcBorders>
              <w:bottom w:val="double" w:sz="4" w:space="0" w:color="auto"/>
            </w:tcBorders>
          </w:tcPr>
          <w:p w14:paraId="536F0589" w14:textId="77777777" w:rsidR="00F336D0" w:rsidRPr="00F70A14" w:rsidRDefault="00F336D0" w:rsidP="00F336D0">
            <w:pPr>
              <w:tabs>
                <w:tab w:val="decimal" w:pos="932"/>
                <w:tab w:val="decimal" w:pos="1051"/>
                <w:tab w:val="left" w:pos="7459"/>
                <w:tab w:val="decimal" w:pos="8467"/>
                <w:tab w:val="left" w:pos="8726"/>
                <w:tab w:val="decimal" w:pos="9734"/>
              </w:tabs>
              <w:ind w:right="-86"/>
              <w:rPr>
                <w:lang w:val="en-GB"/>
              </w:rPr>
            </w:pPr>
          </w:p>
        </w:tc>
        <w:tc>
          <w:tcPr>
            <w:tcW w:w="2006" w:type="dxa"/>
            <w:tcBorders>
              <w:bottom w:val="double" w:sz="4" w:space="0" w:color="auto"/>
            </w:tcBorders>
          </w:tcPr>
          <w:p w14:paraId="653445A3" w14:textId="77777777" w:rsidR="00F336D0" w:rsidRPr="00756FD3" w:rsidRDefault="00F336D0" w:rsidP="00F336D0">
            <w:pPr>
              <w:tabs>
                <w:tab w:val="decimal" w:pos="1051"/>
                <w:tab w:val="left" w:pos="7459"/>
                <w:tab w:val="decimal" w:pos="8467"/>
                <w:tab w:val="left" w:pos="8726"/>
                <w:tab w:val="decimal" w:pos="9734"/>
              </w:tabs>
              <w:ind w:right="-86"/>
              <w:rPr>
                <w:lang w:val="en-GB"/>
              </w:rPr>
            </w:pPr>
          </w:p>
        </w:tc>
      </w:tr>
    </w:tbl>
    <w:p w14:paraId="0D6E8597" w14:textId="77777777" w:rsidR="00F336D0" w:rsidRDefault="00F336D0" w:rsidP="00F336D0">
      <w:pPr>
        <w:ind w:firstLine="720"/>
        <w:jc w:val="both"/>
      </w:pPr>
    </w:p>
    <w:p w14:paraId="58DDA4BB" w14:textId="36AA9117" w:rsidR="00F336D0" w:rsidRDefault="00F336D0" w:rsidP="00F336D0">
      <w:pPr>
        <w:jc w:val="both"/>
      </w:pPr>
      <w:r w:rsidRPr="00C17219">
        <w:t>During the year</w:t>
      </w:r>
      <w:r>
        <w:t>s</w:t>
      </w:r>
      <w:r w:rsidRPr="00C17219">
        <w:t xml:space="preserve"> ended August 31, 202</w:t>
      </w:r>
      <w:r>
        <w:t>3 and 2022</w:t>
      </w:r>
      <w:r w:rsidRPr="00C17219">
        <w:t>, the Company wrote down the claims to $1 and charged $</w:t>
      </w:r>
      <w:r>
        <w:t>57</w:t>
      </w:r>
      <w:r w:rsidRPr="00C17219">
        <w:t>,</w:t>
      </w:r>
      <w:r>
        <w:t>301 (2022 - $92,029)</w:t>
      </w:r>
      <w:r w:rsidRPr="00C17219">
        <w:t xml:space="preserve"> in capitalized costs to operations. The claims that comprise the </w:t>
      </w:r>
      <w:r>
        <w:t>Redstar</w:t>
      </w:r>
      <w:r w:rsidRPr="00C17219">
        <w:t xml:space="preserve"> </w:t>
      </w:r>
      <w:r w:rsidR="00E31CB1">
        <w:t xml:space="preserve">Nevada </w:t>
      </w:r>
      <w:r w:rsidRPr="00C17219">
        <w:t>Properties remain in good standing.</w:t>
      </w:r>
    </w:p>
    <w:p w14:paraId="4A057CEA" w14:textId="77777777" w:rsidR="00F336D0" w:rsidRDefault="00F336D0" w:rsidP="00F336D0">
      <w:pPr>
        <w:ind w:firstLine="720"/>
        <w:jc w:val="both"/>
      </w:pPr>
    </w:p>
    <w:p w14:paraId="4F95F4D3" w14:textId="77777777" w:rsidR="00F336D0" w:rsidRPr="009324C0" w:rsidRDefault="00F336D0" w:rsidP="00F336D0">
      <w:pPr>
        <w:jc w:val="both"/>
        <w:rPr>
          <w:bCs/>
          <w:i/>
          <w:iCs/>
        </w:rPr>
      </w:pPr>
      <w:r w:rsidRPr="009324C0">
        <w:rPr>
          <w:bCs/>
          <w:i/>
          <w:iCs/>
        </w:rPr>
        <w:t>Cooks Creek Project (Nevada, USA)</w:t>
      </w:r>
    </w:p>
    <w:p w14:paraId="46DE17FF" w14:textId="77777777" w:rsidR="00F336D0" w:rsidRPr="00B8649D" w:rsidRDefault="00F336D0" w:rsidP="00F336D0">
      <w:pPr>
        <w:ind w:firstLine="720"/>
        <w:jc w:val="both"/>
        <w:rPr>
          <w:b/>
        </w:rPr>
      </w:pPr>
    </w:p>
    <w:p w14:paraId="514B6734" w14:textId="77777777" w:rsidR="00F336D0" w:rsidRPr="00B86885" w:rsidRDefault="00F336D0" w:rsidP="00F336D0">
      <w:pPr>
        <w:jc w:val="both"/>
      </w:pPr>
      <w:r w:rsidRPr="00B8649D">
        <w:t>The Cooks Creek Project consists of unpatented mining claims in Lander County, Nevada. These claims consisted of one of the 11 exploration projects in Nevada acquired from Redstar on September 29, 2016.</w:t>
      </w:r>
      <w:r>
        <w:t xml:space="preserve"> </w:t>
      </w:r>
      <w:r w:rsidRPr="00DD1F17">
        <w:t xml:space="preserve">During the </w:t>
      </w:r>
      <w:r>
        <w:t>years ended August 31, 2023 and 2022</w:t>
      </w:r>
      <w:r w:rsidRPr="00DD1F17">
        <w:t xml:space="preserve">, the Company wrote down </w:t>
      </w:r>
      <w:r>
        <w:t xml:space="preserve">the claims to $1 and charged </w:t>
      </w:r>
      <w:r w:rsidRPr="00DD1F17">
        <w:t>$</w:t>
      </w:r>
      <w:r>
        <w:t>2</w:t>
      </w:r>
      <w:r w:rsidRPr="00DD1F17">
        <w:t>,</w:t>
      </w:r>
      <w:r>
        <w:t>252 (2022 - $12,209)</w:t>
      </w:r>
      <w:r w:rsidRPr="00DD1F17">
        <w:t xml:space="preserve"> in capitalized costs to operations. T</w:t>
      </w:r>
      <w:r>
        <w:t xml:space="preserve">he claims remain in good standing. </w:t>
      </w:r>
    </w:p>
    <w:p w14:paraId="54C3205D" w14:textId="77777777" w:rsidR="00F336D0" w:rsidRDefault="00F336D0" w:rsidP="00F336D0">
      <w:pPr>
        <w:ind w:firstLine="720"/>
        <w:jc w:val="both"/>
      </w:pPr>
    </w:p>
    <w:p w14:paraId="5CBD6DE5" w14:textId="77777777" w:rsidR="00F336D0" w:rsidRPr="009324C0" w:rsidRDefault="00F336D0" w:rsidP="00F336D0">
      <w:pPr>
        <w:jc w:val="both"/>
        <w:rPr>
          <w:bCs/>
          <w:i/>
          <w:iCs/>
        </w:rPr>
      </w:pPr>
      <w:r w:rsidRPr="009324C0">
        <w:rPr>
          <w:bCs/>
          <w:i/>
          <w:iCs/>
        </w:rPr>
        <w:t>Green Gold Project (Nevada, USA)</w:t>
      </w:r>
    </w:p>
    <w:p w14:paraId="6A2DC96C" w14:textId="77777777" w:rsidR="00F336D0" w:rsidRDefault="00F336D0" w:rsidP="00F336D0">
      <w:pPr>
        <w:ind w:firstLine="720"/>
        <w:jc w:val="both"/>
      </w:pPr>
    </w:p>
    <w:p w14:paraId="79952F43" w14:textId="77777777" w:rsidR="00F336D0" w:rsidRDefault="00F336D0" w:rsidP="00F336D0">
      <w:pPr>
        <w:jc w:val="both"/>
      </w:pPr>
      <w:r>
        <w:t xml:space="preserve">The Company staked unpatented mining claims in Pershing County, Nevada. The claims, collectively named the Green Gold Project. </w:t>
      </w:r>
      <w:r w:rsidRPr="00C17219">
        <w:t>During the year</w:t>
      </w:r>
      <w:r>
        <w:t>s</w:t>
      </w:r>
      <w:r w:rsidRPr="00C17219">
        <w:t xml:space="preserve"> ended August 31, 202</w:t>
      </w:r>
      <w:r>
        <w:t>3 and 2022</w:t>
      </w:r>
      <w:r w:rsidRPr="00C17219">
        <w:t>, the Company wrote down the claims to $1 and charged $</w:t>
      </w:r>
      <w:r>
        <w:t>2</w:t>
      </w:r>
      <w:r w:rsidRPr="00C17219">
        <w:t>,</w:t>
      </w:r>
      <w:r>
        <w:t>737 (2022 - $5,243)</w:t>
      </w:r>
      <w:r w:rsidRPr="00C17219">
        <w:t xml:space="preserve"> in capitalized costs to operations. The</w:t>
      </w:r>
      <w:r w:rsidRPr="00DD1F17">
        <w:t xml:space="preserve"> claims remain in good standing.</w:t>
      </w:r>
      <w:r>
        <w:t xml:space="preserve"> </w:t>
      </w:r>
    </w:p>
    <w:p w14:paraId="699DEDA4" w14:textId="77777777" w:rsidR="00F336D0" w:rsidRDefault="00F336D0" w:rsidP="00EB1817">
      <w:pPr>
        <w:jc w:val="both"/>
      </w:pPr>
    </w:p>
    <w:p w14:paraId="4D4E14D3" w14:textId="41489901" w:rsidR="00F336D0" w:rsidRPr="009324C0" w:rsidRDefault="00F336D0" w:rsidP="00F336D0">
      <w:pPr>
        <w:rPr>
          <w:bCs/>
          <w:i/>
          <w:iCs/>
        </w:rPr>
      </w:pPr>
      <w:r w:rsidRPr="009324C0">
        <w:rPr>
          <w:bCs/>
          <w:i/>
          <w:iCs/>
        </w:rPr>
        <w:t>Darby Flats Project (Nevada, USA)</w:t>
      </w:r>
    </w:p>
    <w:p w14:paraId="4781B646" w14:textId="77777777" w:rsidR="00F336D0" w:rsidRPr="00FC26D8" w:rsidRDefault="00F336D0" w:rsidP="00F336D0">
      <w:pPr>
        <w:rPr>
          <w:b/>
        </w:rPr>
      </w:pPr>
    </w:p>
    <w:p w14:paraId="563A6A2E" w14:textId="77777777" w:rsidR="00F336D0" w:rsidRDefault="00F336D0" w:rsidP="00F336D0">
      <w:pPr>
        <w:jc w:val="both"/>
      </w:pPr>
      <w:r w:rsidRPr="00A72E94">
        <w:t>During the year ended August 31, 2021, the Company staked claims consisting of the Darby Flats Project, located in Elko County, Nevada</w:t>
      </w:r>
      <w:r>
        <w:t xml:space="preserve">. </w:t>
      </w:r>
      <w:r w:rsidRPr="00C17219">
        <w:t>During the year</w:t>
      </w:r>
      <w:r>
        <w:t>s</w:t>
      </w:r>
      <w:r w:rsidRPr="00C17219">
        <w:t xml:space="preserve"> ended August 31, 202</w:t>
      </w:r>
      <w:r>
        <w:t>3 and 2022</w:t>
      </w:r>
      <w:r w:rsidRPr="00C17219">
        <w:t xml:space="preserve">, the Company wrote down the claims to $1 and charged </w:t>
      </w:r>
      <w:r>
        <w:t xml:space="preserve">$1,535 (2022 - </w:t>
      </w:r>
      <w:r w:rsidRPr="00C17219">
        <w:t>$</w:t>
      </w:r>
      <w:r>
        <w:t>10</w:t>
      </w:r>
      <w:r w:rsidRPr="00C17219">
        <w:t>,</w:t>
      </w:r>
      <w:r>
        <w:t>240)</w:t>
      </w:r>
      <w:r w:rsidRPr="00C17219">
        <w:t xml:space="preserve"> in capitalized costs to operations. The</w:t>
      </w:r>
      <w:r w:rsidRPr="00DD1F17">
        <w:t xml:space="preserve"> claims remain in good standing.</w:t>
      </w:r>
      <w:r>
        <w:t xml:space="preserve"> </w:t>
      </w:r>
    </w:p>
    <w:p w14:paraId="1A083CE2" w14:textId="77777777" w:rsidR="00F336D0" w:rsidRDefault="00F336D0" w:rsidP="00F336D0">
      <w:pPr>
        <w:rPr>
          <w:b/>
        </w:rPr>
      </w:pPr>
    </w:p>
    <w:p w14:paraId="4914593B" w14:textId="19229BA6" w:rsidR="00F336D0" w:rsidRDefault="00F336D0" w:rsidP="00F336D0">
      <w:pPr>
        <w:jc w:val="both"/>
        <w:rPr>
          <w:color w:val="000000" w:themeColor="text1"/>
        </w:rPr>
      </w:pPr>
      <w:r>
        <w:rPr>
          <w:bCs/>
          <w:i/>
          <w:iCs/>
        </w:rPr>
        <w:t>Discovery Bay Project (Nevada, USA)</w:t>
      </w:r>
    </w:p>
    <w:p w14:paraId="2CB00FF1" w14:textId="77777777" w:rsidR="00F336D0" w:rsidRDefault="00F336D0" w:rsidP="00F336D0">
      <w:pPr>
        <w:jc w:val="both"/>
        <w:rPr>
          <w:color w:val="000000" w:themeColor="text1"/>
        </w:rPr>
      </w:pPr>
    </w:p>
    <w:p w14:paraId="79604C6A" w14:textId="77777777" w:rsidR="00F336D0" w:rsidRDefault="00F336D0" w:rsidP="00F336D0">
      <w:pPr>
        <w:jc w:val="both"/>
        <w:rPr>
          <w:color w:val="000000" w:themeColor="text1"/>
        </w:rPr>
      </w:pPr>
      <w:r w:rsidRPr="00681B73">
        <w:rPr>
          <w:color w:val="000000" w:themeColor="text1"/>
        </w:rPr>
        <w:t xml:space="preserve">During the year ended August 31, 2021, the Company staked </w:t>
      </w:r>
      <w:r>
        <w:rPr>
          <w:color w:val="000000" w:themeColor="text1"/>
        </w:rPr>
        <w:t xml:space="preserve">unpatented mining </w:t>
      </w:r>
      <w:r w:rsidRPr="00681B73">
        <w:rPr>
          <w:color w:val="000000" w:themeColor="text1"/>
        </w:rPr>
        <w:t xml:space="preserve">claims consisting of the Discovery Bay Project, located in </w:t>
      </w:r>
      <w:r w:rsidRPr="009324C0">
        <w:rPr>
          <w:color w:val="000000" w:themeColor="text1"/>
        </w:rPr>
        <w:t>Lander</w:t>
      </w:r>
      <w:r w:rsidRPr="00681B73">
        <w:rPr>
          <w:color w:val="000000" w:themeColor="text1"/>
        </w:rPr>
        <w:t xml:space="preserve"> County, Nevada.</w:t>
      </w:r>
      <w:r>
        <w:rPr>
          <w:color w:val="000000" w:themeColor="text1"/>
        </w:rPr>
        <w:t xml:space="preserve"> </w:t>
      </w:r>
    </w:p>
    <w:p w14:paraId="7E6083BA" w14:textId="77777777" w:rsidR="00F336D0" w:rsidRDefault="00F336D0" w:rsidP="00F336D0">
      <w:pPr>
        <w:jc w:val="both"/>
        <w:rPr>
          <w:color w:val="000000" w:themeColor="text1"/>
        </w:rPr>
      </w:pPr>
    </w:p>
    <w:p w14:paraId="3862BA46" w14:textId="77777777" w:rsidR="00310C38" w:rsidRPr="004E7AE6" w:rsidRDefault="00310C38" w:rsidP="00310C38">
      <w:pPr>
        <w:tabs>
          <w:tab w:val="left" w:pos="990"/>
          <w:tab w:val="left" w:pos="1260"/>
          <w:tab w:val="right" w:pos="10080"/>
        </w:tabs>
        <w:jc w:val="both"/>
        <w:rPr>
          <w:b/>
          <w:u w:val="single"/>
        </w:rPr>
      </w:pPr>
      <w:r w:rsidRPr="00813130">
        <w:rPr>
          <w:b/>
          <w:i/>
          <w:u w:val="single"/>
        </w:rPr>
        <w:t>Swiss Permits, Switzerland</w:t>
      </w:r>
    </w:p>
    <w:p w14:paraId="3E90EE11" w14:textId="77777777" w:rsidR="00310C38" w:rsidRDefault="00310C38" w:rsidP="00310C38">
      <w:pPr>
        <w:tabs>
          <w:tab w:val="left" w:pos="990"/>
          <w:tab w:val="left" w:pos="1260"/>
          <w:tab w:val="right" w:pos="10080"/>
        </w:tabs>
        <w:jc w:val="both"/>
      </w:pPr>
    </w:p>
    <w:p w14:paraId="11DF899B" w14:textId="77777777" w:rsidR="00341349" w:rsidRPr="000105FB" w:rsidRDefault="00341349" w:rsidP="00341349">
      <w:pPr>
        <w:jc w:val="both"/>
      </w:pPr>
      <w:r>
        <w:t>The Company, through its</w:t>
      </w:r>
      <w:r w:rsidRPr="000105FB">
        <w:t xml:space="preserve"> Swiss subsidiary, </w:t>
      </w:r>
      <w:proofErr w:type="spellStart"/>
      <w:r w:rsidRPr="000105FB">
        <w:t>SwissGold</w:t>
      </w:r>
      <w:proofErr w:type="spellEnd"/>
      <w:r w:rsidRPr="000105FB">
        <w:t>, was issued a five year exploration permit (“Permit”) for gold and precious metals that cover</w:t>
      </w:r>
      <w:r>
        <w:t>ed</w:t>
      </w:r>
      <w:r w:rsidRPr="000105FB">
        <w:t xml:space="preserve"> an area within the Communes of Medel/</w:t>
      </w:r>
      <w:proofErr w:type="spellStart"/>
      <w:r w:rsidRPr="000105FB">
        <w:t>Lucmagn</w:t>
      </w:r>
      <w:proofErr w:type="spellEnd"/>
      <w:r w:rsidRPr="000105FB">
        <w:t xml:space="preserve">, </w:t>
      </w:r>
      <w:proofErr w:type="spellStart"/>
      <w:r w:rsidRPr="000105FB">
        <w:t>Disentis</w:t>
      </w:r>
      <w:proofErr w:type="spellEnd"/>
      <w:r w:rsidRPr="000105FB">
        <w:t xml:space="preserve">/Muster and </w:t>
      </w:r>
      <w:proofErr w:type="spellStart"/>
      <w:r w:rsidRPr="000105FB">
        <w:t>Sumvitg</w:t>
      </w:r>
      <w:proofErr w:type="spellEnd"/>
      <w:r w:rsidRPr="000105FB">
        <w:t xml:space="preserve"> in Canton </w:t>
      </w:r>
      <w:proofErr w:type="spellStart"/>
      <w:r w:rsidRPr="000105FB">
        <w:t>Graubunden</w:t>
      </w:r>
      <w:proofErr w:type="spellEnd"/>
      <w:r w:rsidRPr="000105FB">
        <w:t xml:space="preserve">, southeastern Switzerland. The Permit is governed by the terms of an amended mining law that has been approved by the residents of the Communes. The Permit is renewable for two additional 5-year terms. </w:t>
      </w:r>
      <w:r>
        <w:t xml:space="preserve">During the year ended August 31, 2019, the Permit was extended for a 5-year term. </w:t>
      </w:r>
      <w:r w:rsidRPr="000105FB">
        <w:t>Under the terms of the Permit, the Company must:</w:t>
      </w:r>
    </w:p>
    <w:p w14:paraId="47AEC2AB" w14:textId="77777777" w:rsidR="00341349" w:rsidRPr="000105FB" w:rsidRDefault="00341349" w:rsidP="00341349">
      <w:pPr>
        <w:jc w:val="both"/>
      </w:pPr>
    </w:p>
    <w:p w14:paraId="166EFF47" w14:textId="77777777" w:rsidR="00341349" w:rsidRPr="000105FB" w:rsidRDefault="00341349" w:rsidP="00341349">
      <w:pPr>
        <w:jc w:val="both"/>
      </w:pPr>
      <w:r>
        <w:t>a)</w:t>
      </w:r>
      <w:r w:rsidRPr="000105FB">
        <w:tab/>
        <w:t>pay an initial fee of Swiss Francs 4,500</w:t>
      </w:r>
      <w:r>
        <w:t xml:space="preserve"> (paid)</w:t>
      </w:r>
      <w:r w:rsidRPr="000105FB">
        <w:t>;</w:t>
      </w:r>
    </w:p>
    <w:p w14:paraId="3B440283" w14:textId="77777777" w:rsidR="00341349" w:rsidRDefault="00341349" w:rsidP="00341349">
      <w:pPr>
        <w:jc w:val="both"/>
      </w:pPr>
      <w:r>
        <w:t>b)</w:t>
      </w:r>
      <w:r w:rsidRPr="000105FB">
        <w:tab/>
        <w:t>pay an annual fee of Swiss Francs 4,500</w:t>
      </w:r>
      <w:r>
        <w:t xml:space="preserve"> (paid)</w:t>
      </w:r>
      <w:r w:rsidRPr="000105FB">
        <w:t>;</w:t>
      </w:r>
      <w:r>
        <w:t xml:space="preserve"> </w:t>
      </w:r>
    </w:p>
    <w:p w14:paraId="3B212C83" w14:textId="77777777" w:rsidR="00341349" w:rsidRPr="000105FB" w:rsidRDefault="00341349" w:rsidP="00341349">
      <w:pPr>
        <w:jc w:val="both"/>
      </w:pPr>
      <w:r>
        <w:t>c)</w:t>
      </w:r>
      <w:r>
        <w:tab/>
        <w:t>incur exploration expenditures of Swiss Francs 120,000 before the end of 2015; and</w:t>
      </w:r>
    </w:p>
    <w:p w14:paraId="02B57E07" w14:textId="20F7555C" w:rsidR="00341349" w:rsidRPr="000105FB" w:rsidRDefault="00341349" w:rsidP="00341349">
      <w:pPr>
        <w:ind w:left="720" w:hanging="720"/>
        <w:jc w:val="both"/>
      </w:pPr>
      <w:r>
        <w:lastRenderedPageBreak/>
        <w:t>d)</w:t>
      </w:r>
      <w:r w:rsidRPr="000105FB">
        <w:tab/>
        <w:t xml:space="preserve">incur exploration expenditures of Swiss Francs 100,000 annually thereafter during the first term of the </w:t>
      </w:r>
      <w:r>
        <w:t>p</w:t>
      </w:r>
      <w:r w:rsidRPr="000105FB">
        <w:t xml:space="preserve">ermit to maintain the Permit in good standing. </w:t>
      </w:r>
    </w:p>
    <w:p w14:paraId="07B07D42" w14:textId="77777777" w:rsidR="00341349" w:rsidRDefault="00341349" w:rsidP="00341349">
      <w:pPr>
        <w:tabs>
          <w:tab w:val="center" w:pos="720"/>
          <w:tab w:val="decimal" w:pos="5760"/>
          <w:tab w:val="left" w:pos="5940"/>
          <w:tab w:val="decimal" w:pos="6750"/>
          <w:tab w:val="left" w:pos="6930"/>
          <w:tab w:val="decimal" w:pos="7740"/>
          <w:tab w:val="left" w:pos="7920"/>
          <w:tab w:val="decimal" w:pos="8730"/>
          <w:tab w:val="left" w:pos="8910"/>
          <w:tab w:val="decimal" w:pos="9720"/>
        </w:tabs>
        <w:ind w:left="720"/>
        <w:jc w:val="both"/>
      </w:pPr>
    </w:p>
    <w:p w14:paraId="73C2F7CF" w14:textId="7A1ED316" w:rsidR="00310C38" w:rsidRPr="00E1485D" w:rsidRDefault="00341349" w:rsidP="00341349">
      <w:pPr>
        <w:tabs>
          <w:tab w:val="left" w:pos="990"/>
          <w:tab w:val="left" w:pos="1260"/>
          <w:tab w:val="right" w:pos="10080"/>
        </w:tabs>
        <w:jc w:val="both"/>
      </w:pPr>
      <w:r w:rsidRPr="000105FB">
        <w:t xml:space="preserve">Excess expenditures may be carried forward to meet expenditure requirements in future years. Also, the Communes </w:t>
      </w:r>
      <w:r>
        <w:tab/>
      </w:r>
      <w:r w:rsidRPr="000105FB">
        <w:t>can issue a mining concession to the Company subject to</w:t>
      </w:r>
      <w:r>
        <w:t>:</w:t>
      </w:r>
      <w:r w:rsidRPr="000105FB">
        <w:t xml:space="preserve"> (</w:t>
      </w:r>
      <w:proofErr w:type="spellStart"/>
      <w:r w:rsidRPr="000105FB">
        <w:t>i</w:t>
      </w:r>
      <w:proofErr w:type="spellEnd"/>
      <w:r w:rsidRPr="000105FB">
        <w:t xml:space="preserve">) </w:t>
      </w:r>
      <w:r>
        <w:t xml:space="preserve">completion of </w:t>
      </w:r>
      <w:r w:rsidRPr="000105FB">
        <w:t xml:space="preserve">a satisfactory feasibility study; (ii) </w:t>
      </w:r>
      <w:r>
        <w:t xml:space="preserve">completion of </w:t>
      </w:r>
      <w:r w:rsidRPr="000105FB">
        <w:t>an</w:t>
      </w:r>
      <w:r>
        <w:t xml:space="preserve"> e</w:t>
      </w:r>
      <w:r w:rsidRPr="000105FB">
        <w:t>nvironmental impact study; and (iii) consent from each of the three municipal bodies in the</w:t>
      </w:r>
      <w:r>
        <w:t xml:space="preserve"> C</w:t>
      </w:r>
      <w:r w:rsidRPr="000105FB">
        <w:t>ommunes.</w:t>
      </w:r>
    </w:p>
    <w:p w14:paraId="36BE972D" w14:textId="77777777" w:rsidR="005A7BED" w:rsidRDefault="005A7BED" w:rsidP="00310C38">
      <w:pPr>
        <w:jc w:val="both"/>
      </w:pPr>
    </w:p>
    <w:p w14:paraId="3DB7D242" w14:textId="79E08E43" w:rsidR="00310C38" w:rsidRDefault="00310C38" w:rsidP="00310C38">
      <w:pPr>
        <w:jc w:val="both"/>
      </w:pPr>
      <w:r>
        <w:t xml:space="preserve">The Company has a NI 43-101 compliant technical report, dated November 14, 2014, on the project. The technical report was prepared by Mine Development Associates of Reno, Nevada. The full report is available for view under the Company’s profile on Sedar at </w:t>
      </w:r>
      <w:hyperlink r:id="rId10" w:history="1">
        <w:r w:rsidR="006473A0" w:rsidRPr="00B42F7A">
          <w:rPr>
            <w:rStyle w:val="Hyperlink"/>
          </w:rPr>
          <w:t>www.sedarplus.ca</w:t>
        </w:r>
      </w:hyperlink>
      <w:r>
        <w:t>.</w:t>
      </w:r>
    </w:p>
    <w:p w14:paraId="681B5DF7" w14:textId="77777777" w:rsidR="00551322" w:rsidRDefault="00551322" w:rsidP="00D2498E">
      <w:pPr>
        <w:pStyle w:val="ListParagraph"/>
        <w:tabs>
          <w:tab w:val="left" w:pos="0"/>
          <w:tab w:val="num" w:pos="990"/>
        </w:tabs>
        <w:ind w:left="0"/>
        <w:jc w:val="both"/>
        <w:rPr>
          <w:sz w:val="20"/>
        </w:rPr>
      </w:pPr>
    </w:p>
    <w:p w14:paraId="5B25ADF4" w14:textId="19DD6F72" w:rsidR="005B02F3" w:rsidRDefault="006D1D11" w:rsidP="00D2498E">
      <w:pPr>
        <w:pStyle w:val="ListParagraph"/>
        <w:tabs>
          <w:tab w:val="left" w:pos="0"/>
          <w:tab w:val="num" w:pos="990"/>
        </w:tabs>
        <w:ind w:left="0"/>
        <w:jc w:val="both"/>
        <w:rPr>
          <w:sz w:val="20"/>
        </w:rPr>
      </w:pPr>
      <w:r w:rsidRPr="00892DE0">
        <w:rPr>
          <w:sz w:val="20"/>
        </w:rPr>
        <w:t>In prior fiscal years the Company received written confirmation from the Communes regarding future work commitment obligations whereby the Company was provided with relief from incurring exploration expenditures</w:t>
      </w:r>
      <w:r w:rsidR="00CE1451">
        <w:rPr>
          <w:sz w:val="20"/>
        </w:rPr>
        <w:t>.</w:t>
      </w:r>
      <w:r w:rsidR="00177ED0">
        <w:rPr>
          <w:sz w:val="20"/>
        </w:rPr>
        <w:t xml:space="preserve"> </w:t>
      </w:r>
      <w:r w:rsidR="009645AC">
        <w:rPr>
          <w:sz w:val="20"/>
        </w:rPr>
        <w:t>The minimum exploration expenditures commitment was not required for 202</w:t>
      </w:r>
      <w:r w:rsidR="00CE196A">
        <w:rPr>
          <w:sz w:val="20"/>
        </w:rPr>
        <w:t>2</w:t>
      </w:r>
      <w:r w:rsidR="009645AC">
        <w:rPr>
          <w:sz w:val="20"/>
        </w:rPr>
        <w:t>.</w:t>
      </w:r>
      <w:r w:rsidR="00CE196A">
        <w:rPr>
          <w:sz w:val="20"/>
        </w:rPr>
        <w:t xml:space="preserve"> </w:t>
      </w:r>
      <w:r w:rsidR="00CE1451">
        <w:rPr>
          <w:sz w:val="20"/>
        </w:rPr>
        <w:t>T</w:t>
      </w:r>
      <w:r w:rsidRPr="00892DE0">
        <w:rPr>
          <w:sz w:val="20"/>
        </w:rPr>
        <w:t xml:space="preserve">he Swiss Permits </w:t>
      </w:r>
      <w:r w:rsidR="00CE1451">
        <w:rPr>
          <w:sz w:val="20"/>
        </w:rPr>
        <w:t>remain i</w:t>
      </w:r>
      <w:r w:rsidRPr="00892DE0">
        <w:rPr>
          <w:sz w:val="20"/>
        </w:rPr>
        <w:t xml:space="preserve">n good standing. </w:t>
      </w:r>
    </w:p>
    <w:p w14:paraId="76A81798" w14:textId="77777777" w:rsidR="00461039" w:rsidRDefault="00461039" w:rsidP="00384C9C"/>
    <w:p w14:paraId="6108C811" w14:textId="2774FCFA" w:rsidR="008E34E5" w:rsidRPr="00B87B23" w:rsidRDefault="008E34E5" w:rsidP="008E34E5">
      <w:pPr>
        <w:pStyle w:val="Heading7"/>
        <w:rPr>
          <w:bCs/>
          <w:szCs w:val="20"/>
        </w:rPr>
      </w:pPr>
      <w:r w:rsidRPr="00254973">
        <w:rPr>
          <w:bCs/>
          <w:szCs w:val="20"/>
        </w:rPr>
        <w:t>Overall Performance</w:t>
      </w:r>
    </w:p>
    <w:p w14:paraId="28F012D0" w14:textId="77777777" w:rsidR="008E34E5" w:rsidRPr="00B87B23" w:rsidRDefault="008E34E5" w:rsidP="008E34E5">
      <w:pPr>
        <w:pStyle w:val="Heading7"/>
        <w:rPr>
          <w:bCs/>
          <w:sz w:val="20"/>
          <w:szCs w:val="20"/>
        </w:rPr>
      </w:pPr>
    </w:p>
    <w:p w14:paraId="1D0E78DA" w14:textId="03ACB348" w:rsidR="00F90311" w:rsidRPr="00952D42" w:rsidRDefault="008E34E5" w:rsidP="00F90311">
      <w:pPr>
        <w:jc w:val="both"/>
      </w:pPr>
      <w:r w:rsidRPr="00D2498E">
        <w:t xml:space="preserve">As at </w:t>
      </w:r>
      <w:r w:rsidR="003E7251">
        <w:t>February</w:t>
      </w:r>
      <w:r w:rsidR="00EE2C31" w:rsidRPr="00D2498E">
        <w:t xml:space="preserve"> </w:t>
      </w:r>
      <w:r w:rsidR="003E7251">
        <w:t>29</w:t>
      </w:r>
      <w:r w:rsidR="00EE2C31" w:rsidRPr="00D2498E">
        <w:t>, 202</w:t>
      </w:r>
      <w:r w:rsidR="003E7251">
        <w:t>4</w:t>
      </w:r>
      <w:r w:rsidRPr="00D2498E">
        <w:t xml:space="preserve">, the Company </w:t>
      </w:r>
      <w:r w:rsidRPr="000514DE">
        <w:t>had $</w:t>
      </w:r>
      <w:r w:rsidR="003E7251">
        <w:t>47</w:t>
      </w:r>
      <w:r w:rsidR="004F576D" w:rsidRPr="000514DE">
        <w:t>,</w:t>
      </w:r>
      <w:r w:rsidR="003E7251">
        <w:t>556</w:t>
      </w:r>
      <w:r w:rsidR="00C23E02" w:rsidRPr="000514DE">
        <w:t xml:space="preserve"> </w:t>
      </w:r>
      <w:r w:rsidR="00776ACE" w:rsidRPr="000514DE">
        <w:t>(</w:t>
      </w:r>
      <w:r w:rsidR="00254973">
        <w:t xml:space="preserve">August 31, </w:t>
      </w:r>
      <w:r w:rsidR="004F576D" w:rsidRPr="000514DE">
        <w:t>2</w:t>
      </w:r>
      <w:r w:rsidR="00406120" w:rsidRPr="000514DE">
        <w:t>0</w:t>
      </w:r>
      <w:r w:rsidR="00C663EB" w:rsidRPr="000514DE">
        <w:t>2</w:t>
      </w:r>
      <w:r w:rsidR="00254973">
        <w:t>3</w:t>
      </w:r>
      <w:r w:rsidRPr="0035275C">
        <w:t xml:space="preserve"> - $</w:t>
      </w:r>
      <w:r w:rsidR="00254973">
        <w:t>56</w:t>
      </w:r>
      <w:r w:rsidR="005D050F" w:rsidRPr="0035275C">
        <w:t>,</w:t>
      </w:r>
      <w:r w:rsidR="00254973">
        <w:t>814</w:t>
      </w:r>
      <w:r w:rsidRPr="0035275C">
        <w:t>) in cash and working capital</w:t>
      </w:r>
      <w:r w:rsidR="000514DE">
        <w:t xml:space="preserve"> deficiency </w:t>
      </w:r>
      <w:r w:rsidRPr="000514DE">
        <w:t>was</w:t>
      </w:r>
      <w:r w:rsidR="004C24E2" w:rsidRPr="000514DE">
        <w:t xml:space="preserve"> </w:t>
      </w:r>
      <w:r w:rsidR="00254973">
        <w:t>$</w:t>
      </w:r>
      <w:r w:rsidR="003E7251">
        <w:t>469</w:t>
      </w:r>
      <w:r w:rsidR="00254973">
        <w:t>,</w:t>
      </w:r>
      <w:r w:rsidR="003E7251">
        <w:t>940</w:t>
      </w:r>
      <w:r w:rsidR="004C24E2" w:rsidRPr="009264FA">
        <w:t xml:space="preserve"> </w:t>
      </w:r>
      <w:r w:rsidRPr="009264FA">
        <w:t>(</w:t>
      </w:r>
      <w:r w:rsidR="00254973">
        <w:t>August 31, 2</w:t>
      </w:r>
      <w:r w:rsidR="00406120" w:rsidRPr="009264FA">
        <w:t>0</w:t>
      </w:r>
      <w:r w:rsidR="00C663EB" w:rsidRPr="009264FA">
        <w:t>2</w:t>
      </w:r>
      <w:r w:rsidR="00254973">
        <w:t>3</w:t>
      </w:r>
      <w:r w:rsidR="00C30CDE" w:rsidRPr="009264FA">
        <w:t xml:space="preserve"> </w:t>
      </w:r>
      <w:r w:rsidR="003550AA" w:rsidRPr="009264FA">
        <w:t>–</w:t>
      </w:r>
      <w:r w:rsidRPr="009264FA">
        <w:t xml:space="preserve"> $</w:t>
      </w:r>
      <w:r w:rsidR="00254973">
        <w:t>62</w:t>
      </w:r>
      <w:r w:rsidR="00952204" w:rsidRPr="009264FA">
        <w:t>,</w:t>
      </w:r>
      <w:r w:rsidR="00254973">
        <w:t>417</w:t>
      </w:r>
      <w:r w:rsidR="00BF2A52" w:rsidRPr="009264FA">
        <w:t>)</w:t>
      </w:r>
      <w:r w:rsidRPr="009264FA">
        <w:t>. The Company</w:t>
      </w:r>
      <w:r w:rsidRPr="00D2498E">
        <w:t xml:space="preserve"> </w:t>
      </w:r>
      <w:r w:rsidRPr="0035275C">
        <w:t xml:space="preserve">incurred a net </w:t>
      </w:r>
      <w:r w:rsidRPr="000514DE">
        <w:t>loss of $</w:t>
      </w:r>
      <w:r w:rsidR="003E7251">
        <w:t>335</w:t>
      </w:r>
      <w:r w:rsidR="00B542C6" w:rsidRPr="000514DE">
        <w:t>,</w:t>
      </w:r>
      <w:r w:rsidR="003E7251">
        <w:t>396</w:t>
      </w:r>
      <w:r w:rsidR="00F113B1" w:rsidRPr="000514DE">
        <w:t xml:space="preserve"> </w:t>
      </w:r>
      <w:r w:rsidRPr="000514DE">
        <w:t>(</w:t>
      </w:r>
      <w:r w:rsidR="00E31CEC" w:rsidRPr="000514DE">
        <w:t>20</w:t>
      </w:r>
      <w:r w:rsidR="002965E5" w:rsidRPr="000514DE">
        <w:t>2</w:t>
      </w:r>
      <w:r w:rsidR="003E7251">
        <w:t>3</w:t>
      </w:r>
      <w:r w:rsidRPr="00D2498E">
        <w:t xml:space="preserve"> - $</w:t>
      </w:r>
      <w:r w:rsidR="003E7251">
        <w:t>369</w:t>
      </w:r>
      <w:r w:rsidR="000514DE">
        <w:t>,</w:t>
      </w:r>
      <w:r w:rsidR="003E7251">
        <w:t>131</w:t>
      </w:r>
      <w:r w:rsidR="008F31D9" w:rsidRPr="00D2498E">
        <w:t>)</w:t>
      </w:r>
      <w:r w:rsidRPr="00D2498E">
        <w:t xml:space="preserve"> during the </w:t>
      </w:r>
      <w:r w:rsidR="003E7251">
        <w:t>six</w:t>
      </w:r>
      <w:r w:rsidR="00254973">
        <w:t xml:space="preserve"> month period </w:t>
      </w:r>
      <w:r w:rsidR="00AE549A" w:rsidRPr="00D2498E">
        <w:t>ended</w:t>
      </w:r>
      <w:r w:rsidR="005D050F" w:rsidRPr="00D2498E">
        <w:t xml:space="preserve"> </w:t>
      </w:r>
      <w:r w:rsidR="003E7251">
        <w:t>February</w:t>
      </w:r>
      <w:r w:rsidR="00035BF3">
        <w:t xml:space="preserve"> </w:t>
      </w:r>
      <w:r w:rsidR="003E7251">
        <w:t>29</w:t>
      </w:r>
      <w:r w:rsidR="00EE2C31" w:rsidRPr="00D2498E">
        <w:t>, 202</w:t>
      </w:r>
      <w:r w:rsidR="003E7251">
        <w:t>4</w:t>
      </w:r>
      <w:r w:rsidRPr="00D2498E">
        <w:t>.</w:t>
      </w:r>
      <w:r w:rsidR="00E31CEC" w:rsidRPr="00952D42">
        <w:t xml:space="preserve"> </w:t>
      </w:r>
    </w:p>
    <w:p w14:paraId="7589DF18" w14:textId="77777777" w:rsidR="00C67E48" w:rsidRDefault="00C67E48" w:rsidP="008E34E5">
      <w:pPr>
        <w:pStyle w:val="Heading7"/>
        <w:rPr>
          <w:bCs/>
          <w:szCs w:val="20"/>
        </w:rPr>
      </w:pPr>
    </w:p>
    <w:p w14:paraId="3E30AEA8" w14:textId="5AEDF2D6" w:rsidR="008E34E5" w:rsidRDefault="008E34E5" w:rsidP="008E34E5">
      <w:pPr>
        <w:pStyle w:val="Heading7"/>
        <w:rPr>
          <w:bCs/>
          <w:szCs w:val="20"/>
        </w:rPr>
      </w:pPr>
      <w:r w:rsidRPr="00481481">
        <w:rPr>
          <w:bCs/>
          <w:szCs w:val="20"/>
        </w:rPr>
        <w:t>Other Events and Transactions</w:t>
      </w:r>
    </w:p>
    <w:p w14:paraId="0CFF80F1" w14:textId="77777777" w:rsidR="00254973" w:rsidRPr="00254973" w:rsidRDefault="00254973" w:rsidP="00254973"/>
    <w:p w14:paraId="6BDD79F5" w14:textId="7CE3C7EB" w:rsidR="00254973" w:rsidRPr="009D4172" w:rsidRDefault="00254973" w:rsidP="00254973">
      <w:pPr>
        <w:pStyle w:val="ListParagraph"/>
        <w:numPr>
          <w:ilvl w:val="0"/>
          <w:numId w:val="27"/>
        </w:numPr>
        <w:tabs>
          <w:tab w:val="left" w:pos="1260"/>
          <w:tab w:val="right" w:pos="10080"/>
        </w:tabs>
        <w:ind w:left="567" w:hanging="567"/>
        <w:jc w:val="both"/>
        <w:rPr>
          <w:bCs/>
          <w:sz w:val="20"/>
        </w:rPr>
      </w:pPr>
      <w:r w:rsidRPr="009D4172">
        <w:rPr>
          <w:bCs/>
          <w:sz w:val="20"/>
        </w:rPr>
        <w:t xml:space="preserve">On Sept 11, 2023, the Company reported results from </w:t>
      </w:r>
      <w:r w:rsidR="00AF4D57">
        <w:rPr>
          <w:bCs/>
          <w:sz w:val="20"/>
        </w:rPr>
        <w:t>a mapping and r</w:t>
      </w:r>
      <w:r w:rsidRPr="009D4172">
        <w:rPr>
          <w:bCs/>
          <w:sz w:val="20"/>
        </w:rPr>
        <w:t xml:space="preserve">ock </w:t>
      </w:r>
      <w:r w:rsidR="00AF4D57">
        <w:rPr>
          <w:bCs/>
          <w:sz w:val="20"/>
        </w:rPr>
        <w:t>c</w:t>
      </w:r>
      <w:r w:rsidRPr="009D4172">
        <w:rPr>
          <w:bCs/>
          <w:sz w:val="20"/>
        </w:rPr>
        <w:t xml:space="preserve">hip </w:t>
      </w:r>
      <w:r w:rsidR="00AF4D57">
        <w:rPr>
          <w:bCs/>
          <w:sz w:val="20"/>
        </w:rPr>
        <w:t>s</w:t>
      </w:r>
      <w:r w:rsidRPr="009D4172">
        <w:rPr>
          <w:bCs/>
          <w:sz w:val="20"/>
        </w:rPr>
        <w:t xml:space="preserve">ampling </w:t>
      </w:r>
      <w:r w:rsidR="00AF4D57">
        <w:rPr>
          <w:bCs/>
          <w:sz w:val="20"/>
        </w:rPr>
        <w:t>p</w:t>
      </w:r>
      <w:r w:rsidRPr="009D4172">
        <w:rPr>
          <w:bCs/>
          <w:sz w:val="20"/>
        </w:rPr>
        <w:t>rogram from the Triple T Gold Project.</w:t>
      </w:r>
      <w:r w:rsidRPr="009D4172">
        <w:rPr>
          <w:rFonts w:ascii="Lato" w:hAnsi="Lato"/>
          <w:color w:val="292929"/>
          <w:spacing w:val="5"/>
          <w:sz w:val="26"/>
          <w:szCs w:val="26"/>
          <w:shd w:val="clear" w:color="auto" w:fill="FFFFFF"/>
        </w:rPr>
        <w:t xml:space="preserve"> </w:t>
      </w:r>
      <w:r w:rsidR="003D7E9C">
        <w:rPr>
          <w:color w:val="292929"/>
          <w:spacing w:val="5"/>
          <w:sz w:val="20"/>
          <w:shd w:val="clear" w:color="auto" w:fill="FFFFFF"/>
        </w:rPr>
        <w:t xml:space="preserve">Five samples out of the 27 samples taken, returned </w:t>
      </w:r>
      <w:r w:rsidRPr="009D4172">
        <w:rPr>
          <w:color w:val="292929"/>
          <w:spacing w:val="5"/>
          <w:sz w:val="20"/>
          <w:shd w:val="clear" w:color="auto" w:fill="FFFFFF"/>
        </w:rPr>
        <w:t xml:space="preserve">gold values </w:t>
      </w:r>
      <w:r w:rsidR="003D7E9C">
        <w:rPr>
          <w:color w:val="292929"/>
          <w:spacing w:val="5"/>
          <w:sz w:val="20"/>
          <w:shd w:val="clear" w:color="auto" w:fill="FFFFFF"/>
        </w:rPr>
        <w:t xml:space="preserve">between </w:t>
      </w:r>
      <w:r w:rsidRPr="009D4172">
        <w:rPr>
          <w:rStyle w:val="Strong"/>
          <w:b w:val="0"/>
          <w:bCs w:val="0"/>
          <w:color w:val="292929"/>
          <w:spacing w:val="5"/>
          <w:sz w:val="20"/>
          <w:shd w:val="clear" w:color="auto" w:fill="FFFFFF"/>
        </w:rPr>
        <w:t>2.71 g/t Au and 9.63 g/t Au</w:t>
      </w:r>
      <w:r w:rsidRPr="009D4172">
        <w:rPr>
          <w:color w:val="292929"/>
          <w:spacing w:val="5"/>
          <w:sz w:val="20"/>
          <w:shd w:val="clear" w:color="auto" w:fill="FFFFFF"/>
        </w:rPr>
        <w:t xml:space="preserve">. These samples will help to extend the potential target area by a kilometer to the north of the recently drilled area. For additional details, refer to the press release from September 11, 2023. </w:t>
      </w:r>
      <w:r w:rsidRPr="009D4172">
        <w:rPr>
          <w:bCs/>
          <w:sz w:val="20"/>
        </w:rPr>
        <w:t xml:space="preserve"> </w:t>
      </w:r>
    </w:p>
    <w:p w14:paraId="2A9C89AA" w14:textId="77777777" w:rsidR="00254973" w:rsidRDefault="00254973" w:rsidP="00254973">
      <w:pPr>
        <w:tabs>
          <w:tab w:val="left" w:pos="990"/>
          <w:tab w:val="left" w:pos="1260"/>
          <w:tab w:val="right" w:pos="10080"/>
        </w:tabs>
        <w:jc w:val="both"/>
        <w:rPr>
          <w:b/>
          <w:sz w:val="24"/>
          <w:szCs w:val="24"/>
        </w:rPr>
      </w:pPr>
    </w:p>
    <w:p w14:paraId="65BEF3A1" w14:textId="5C070C1E" w:rsidR="00254973" w:rsidRDefault="00254973" w:rsidP="005D540C">
      <w:pPr>
        <w:pStyle w:val="ListParagraph"/>
        <w:numPr>
          <w:ilvl w:val="0"/>
          <w:numId w:val="27"/>
        </w:numPr>
        <w:tabs>
          <w:tab w:val="left" w:pos="1260"/>
          <w:tab w:val="right" w:pos="10080"/>
        </w:tabs>
        <w:ind w:left="567" w:hanging="567"/>
        <w:jc w:val="both"/>
        <w:rPr>
          <w:bCs/>
          <w:sz w:val="20"/>
        </w:rPr>
      </w:pPr>
      <w:r w:rsidRPr="001E39F3">
        <w:rPr>
          <w:bCs/>
          <w:sz w:val="20"/>
        </w:rPr>
        <w:t>On September 18, 2023 the Company received a loan of US$100,000 from a director of the Company at an interest rate of 12% per annum. The loan is due on demand within a one-year period.</w:t>
      </w:r>
      <w:r w:rsidR="00D15068" w:rsidRPr="001E39F3">
        <w:rPr>
          <w:bCs/>
          <w:sz w:val="20"/>
        </w:rPr>
        <w:t xml:space="preserve"> </w:t>
      </w:r>
    </w:p>
    <w:p w14:paraId="0E55B17D" w14:textId="77777777" w:rsidR="001E39F3" w:rsidRPr="001E39F3" w:rsidRDefault="001E39F3" w:rsidP="001E39F3">
      <w:pPr>
        <w:pStyle w:val="ListParagraph"/>
        <w:rPr>
          <w:bCs/>
          <w:sz w:val="20"/>
        </w:rPr>
      </w:pPr>
    </w:p>
    <w:p w14:paraId="699566F0" w14:textId="37189344" w:rsidR="00254973" w:rsidRDefault="00254973" w:rsidP="00254973">
      <w:pPr>
        <w:pStyle w:val="ListParagraph"/>
        <w:numPr>
          <w:ilvl w:val="0"/>
          <w:numId w:val="27"/>
        </w:numPr>
        <w:tabs>
          <w:tab w:val="left" w:pos="1260"/>
          <w:tab w:val="right" w:pos="10080"/>
        </w:tabs>
        <w:ind w:left="567" w:hanging="567"/>
        <w:jc w:val="both"/>
        <w:rPr>
          <w:bCs/>
          <w:sz w:val="20"/>
        </w:rPr>
      </w:pPr>
      <w:r>
        <w:rPr>
          <w:bCs/>
          <w:sz w:val="20"/>
        </w:rPr>
        <w:t>20,000 stock options exercisable at $0.14</w:t>
      </w:r>
      <w:r w:rsidR="003E7251">
        <w:rPr>
          <w:bCs/>
          <w:sz w:val="20"/>
        </w:rPr>
        <w:t>, 250,000 stock options exercisable at $0.10 per share, 17,</w:t>
      </w:r>
      <w:r w:rsidR="00CB4017">
        <w:rPr>
          <w:bCs/>
          <w:sz w:val="20"/>
        </w:rPr>
        <w:t>5</w:t>
      </w:r>
      <w:r w:rsidR="003E7251">
        <w:rPr>
          <w:bCs/>
          <w:sz w:val="20"/>
        </w:rPr>
        <w:t>00 stock options exercisable at $0.07 per share</w:t>
      </w:r>
      <w:r w:rsidR="00CB4017">
        <w:rPr>
          <w:bCs/>
          <w:sz w:val="20"/>
        </w:rPr>
        <w:t xml:space="preserve">, </w:t>
      </w:r>
      <w:r w:rsidR="003E7251">
        <w:rPr>
          <w:bCs/>
          <w:sz w:val="20"/>
        </w:rPr>
        <w:t>52,</w:t>
      </w:r>
      <w:r w:rsidR="00CB4017">
        <w:rPr>
          <w:bCs/>
          <w:sz w:val="20"/>
        </w:rPr>
        <w:t>5</w:t>
      </w:r>
      <w:r w:rsidR="003E7251">
        <w:rPr>
          <w:bCs/>
          <w:sz w:val="20"/>
        </w:rPr>
        <w:t>00 stock options exercisable at $0.20</w:t>
      </w:r>
      <w:r>
        <w:rPr>
          <w:bCs/>
          <w:sz w:val="20"/>
        </w:rPr>
        <w:t xml:space="preserve"> </w:t>
      </w:r>
      <w:r w:rsidR="00CB4017">
        <w:rPr>
          <w:bCs/>
          <w:sz w:val="20"/>
        </w:rPr>
        <w:t xml:space="preserve">and 2,500 stock options exercisable at $0.17 </w:t>
      </w:r>
      <w:r>
        <w:rPr>
          <w:bCs/>
          <w:sz w:val="20"/>
        </w:rPr>
        <w:t>per share expired unexercised.</w:t>
      </w:r>
    </w:p>
    <w:p w14:paraId="217FDB8A" w14:textId="77777777" w:rsidR="001E39F3" w:rsidRPr="001E39F3" w:rsidRDefault="001E39F3" w:rsidP="001E39F3">
      <w:pPr>
        <w:pStyle w:val="ListParagraph"/>
        <w:rPr>
          <w:bCs/>
          <w:sz w:val="20"/>
        </w:rPr>
      </w:pPr>
    </w:p>
    <w:p w14:paraId="301B4702" w14:textId="723640EA" w:rsidR="001E39F3" w:rsidRDefault="001E39F3" w:rsidP="00254973">
      <w:pPr>
        <w:pStyle w:val="ListParagraph"/>
        <w:numPr>
          <w:ilvl w:val="0"/>
          <w:numId w:val="27"/>
        </w:numPr>
        <w:tabs>
          <w:tab w:val="left" w:pos="1260"/>
          <w:tab w:val="right" w:pos="10080"/>
        </w:tabs>
        <w:ind w:left="567" w:hanging="567"/>
        <w:jc w:val="both"/>
        <w:rPr>
          <w:bCs/>
          <w:sz w:val="20"/>
        </w:rPr>
      </w:pPr>
      <w:r>
        <w:rPr>
          <w:bCs/>
          <w:sz w:val="20"/>
        </w:rPr>
        <w:t>On January 22, 2024 the Company received a loan of US$50,000 from a director of the Company at an interest rate of 12% per annum. The loan is due on demand within a one-year period.</w:t>
      </w:r>
    </w:p>
    <w:p w14:paraId="45383AFB" w14:textId="77777777" w:rsidR="003E7251" w:rsidRPr="003E7251" w:rsidRDefault="003E7251" w:rsidP="003E7251">
      <w:pPr>
        <w:pStyle w:val="ListParagraph"/>
        <w:rPr>
          <w:bCs/>
          <w:sz w:val="20"/>
        </w:rPr>
      </w:pPr>
    </w:p>
    <w:p w14:paraId="0F2CD01A" w14:textId="39C725B8" w:rsidR="003E7251" w:rsidRPr="009D4172" w:rsidRDefault="003E7251" w:rsidP="00254973">
      <w:pPr>
        <w:pStyle w:val="ListParagraph"/>
        <w:numPr>
          <w:ilvl w:val="0"/>
          <w:numId w:val="27"/>
        </w:numPr>
        <w:tabs>
          <w:tab w:val="left" w:pos="1260"/>
          <w:tab w:val="right" w:pos="10080"/>
        </w:tabs>
        <w:ind w:left="567" w:hanging="567"/>
        <w:jc w:val="both"/>
        <w:rPr>
          <w:bCs/>
          <w:sz w:val="20"/>
        </w:rPr>
      </w:pPr>
      <w:r>
        <w:rPr>
          <w:bCs/>
          <w:sz w:val="20"/>
        </w:rPr>
        <w:t>Held its Annual General Meeting on Thursday, January 25, 2024 in Vancouver, B.C. at 3:00 pm Pacific Time. All proposed resolutions were passed.</w:t>
      </w:r>
    </w:p>
    <w:p w14:paraId="6BEF752C" w14:textId="77777777" w:rsidR="000A5DF9" w:rsidRPr="000A5DF9" w:rsidRDefault="000A5DF9" w:rsidP="000A5DF9"/>
    <w:p w14:paraId="1EFE93DC" w14:textId="77777777" w:rsidR="00744495" w:rsidRPr="00744495" w:rsidRDefault="00744495" w:rsidP="00744495">
      <w:pPr>
        <w:pStyle w:val="ListParagraph"/>
        <w:rPr>
          <w:bCs/>
          <w:sz w:val="20"/>
          <w:highlight w:val="yellow"/>
        </w:rPr>
      </w:pPr>
    </w:p>
    <w:p w14:paraId="630EC9A2" w14:textId="21F0B56E" w:rsidR="00461094" w:rsidRDefault="00461094" w:rsidP="00461094">
      <w:pPr>
        <w:tabs>
          <w:tab w:val="left" w:pos="1260"/>
          <w:tab w:val="right" w:pos="10080"/>
        </w:tabs>
        <w:jc w:val="both"/>
        <w:rPr>
          <w:b/>
          <w:sz w:val="24"/>
          <w:szCs w:val="24"/>
        </w:rPr>
      </w:pPr>
      <w:r w:rsidRPr="008B73FD">
        <w:rPr>
          <w:b/>
          <w:sz w:val="24"/>
          <w:szCs w:val="24"/>
        </w:rPr>
        <w:t>Events subsequent to the reporting period</w:t>
      </w:r>
      <w:r w:rsidRPr="003B0237">
        <w:rPr>
          <w:b/>
          <w:sz w:val="24"/>
          <w:szCs w:val="24"/>
        </w:rPr>
        <w:t xml:space="preserve"> </w:t>
      </w:r>
    </w:p>
    <w:p w14:paraId="3D2914FF" w14:textId="77777777" w:rsidR="00D574FE" w:rsidRDefault="00D574FE" w:rsidP="00461094">
      <w:pPr>
        <w:tabs>
          <w:tab w:val="left" w:pos="1260"/>
          <w:tab w:val="right" w:pos="10080"/>
        </w:tabs>
        <w:jc w:val="both"/>
        <w:rPr>
          <w:b/>
          <w:sz w:val="24"/>
          <w:szCs w:val="24"/>
        </w:rPr>
      </w:pPr>
    </w:p>
    <w:p w14:paraId="5C87D980" w14:textId="50D6CD02" w:rsidR="00AF4D57" w:rsidRPr="00CB4017" w:rsidRDefault="00CB4017" w:rsidP="00CB4017">
      <w:pPr>
        <w:pStyle w:val="ListParagraph"/>
        <w:numPr>
          <w:ilvl w:val="0"/>
          <w:numId w:val="31"/>
        </w:numPr>
        <w:tabs>
          <w:tab w:val="left" w:pos="1260"/>
          <w:tab w:val="right" w:pos="10080"/>
        </w:tabs>
        <w:ind w:left="567" w:hanging="567"/>
        <w:jc w:val="both"/>
        <w:rPr>
          <w:bCs/>
        </w:rPr>
      </w:pPr>
      <w:r>
        <w:rPr>
          <w:bCs/>
          <w:sz w:val="20"/>
        </w:rPr>
        <w:t>On March 14, 2024, the Company received a loan of US$50,000 from a director of the Company at an interest rate of 1</w:t>
      </w:r>
      <w:r w:rsidR="004546ED">
        <w:rPr>
          <w:bCs/>
          <w:sz w:val="20"/>
        </w:rPr>
        <w:t>2</w:t>
      </w:r>
      <w:r>
        <w:rPr>
          <w:bCs/>
          <w:sz w:val="20"/>
        </w:rPr>
        <w:t>%</w:t>
      </w:r>
      <w:r w:rsidR="004546ED">
        <w:rPr>
          <w:bCs/>
          <w:sz w:val="20"/>
        </w:rPr>
        <w:t xml:space="preserve"> per annum. The loan is due on demand within a one-year period.</w:t>
      </w:r>
    </w:p>
    <w:p w14:paraId="316ACC8B" w14:textId="77777777" w:rsidR="000514DE" w:rsidRDefault="000514DE" w:rsidP="00744495">
      <w:pPr>
        <w:tabs>
          <w:tab w:val="left" w:pos="990"/>
          <w:tab w:val="left" w:pos="1260"/>
          <w:tab w:val="right" w:pos="10080"/>
        </w:tabs>
        <w:jc w:val="both"/>
        <w:rPr>
          <w:b/>
          <w:sz w:val="24"/>
          <w:szCs w:val="24"/>
        </w:rPr>
      </w:pPr>
    </w:p>
    <w:p w14:paraId="3A355B00" w14:textId="77777777" w:rsidR="001055D3" w:rsidRDefault="001055D3" w:rsidP="00E1510A">
      <w:pPr>
        <w:autoSpaceDE w:val="0"/>
        <w:autoSpaceDN w:val="0"/>
        <w:adjustRightInd w:val="0"/>
        <w:jc w:val="both"/>
        <w:rPr>
          <w:highlight w:val="yellow"/>
          <w:lang w:val="en-CA" w:eastAsia="zh-CN"/>
        </w:rPr>
      </w:pPr>
    </w:p>
    <w:p w14:paraId="573F1DB7" w14:textId="4DAFB698" w:rsidR="00436AD0" w:rsidRPr="00287399" w:rsidRDefault="004E7AE6" w:rsidP="00A518A3">
      <w:pPr>
        <w:tabs>
          <w:tab w:val="left" w:pos="1260"/>
          <w:tab w:val="right" w:pos="10080"/>
        </w:tabs>
        <w:jc w:val="both"/>
        <w:rPr>
          <w:b/>
          <w:sz w:val="24"/>
          <w:szCs w:val="24"/>
        </w:rPr>
      </w:pPr>
      <w:r w:rsidRPr="00F77049">
        <w:rPr>
          <w:b/>
          <w:sz w:val="24"/>
          <w:szCs w:val="24"/>
        </w:rPr>
        <w:t>M</w:t>
      </w:r>
      <w:r w:rsidR="00436AD0" w:rsidRPr="00F77049">
        <w:rPr>
          <w:b/>
          <w:sz w:val="24"/>
          <w:szCs w:val="24"/>
        </w:rPr>
        <w:t>ineral Propert</w:t>
      </w:r>
      <w:r w:rsidR="00946CAC" w:rsidRPr="00F77049">
        <w:rPr>
          <w:b/>
          <w:sz w:val="24"/>
          <w:szCs w:val="24"/>
        </w:rPr>
        <w:t>y Update</w:t>
      </w:r>
      <w:r w:rsidR="00F65B28" w:rsidRPr="00F77049">
        <w:rPr>
          <w:b/>
          <w:sz w:val="24"/>
          <w:szCs w:val="24"/>
        </w:rPr>
        <w:t>s</w:t>
      </w:r>
      <w:r w:rsidR="00EC29AC" w:rsidRPr="00287399">
        <w:rPr>
          <w:b/>
          <w:sz w:val="24"/>
          <w:szCs w:val="24"/>
        </w:rPr>
        <w:t xml:space="preserve"> </w:t>
      </w:r>
    </w:p>
    <w:p w14:paraId="2B63CFEC" w14:textId="77777777" w:rsidR="007E21F5" w:rsidRPr="00287399" w:rsidRDefault="007E21F5" w:rsidP="007E21F5">
      <w:pPr>
        <w:jc w:val="both"/>
      </w:pPr>
    </w:p>
    <w:p w14:paraId="2F2C4D6D" w14:textId="066F1CB9" w:rsidR="006A181D" w:rsidRPr="00287399" w:rsidRDefault="006A181D" w:rsidP="009F20AA">
      <w:pPr>
        <w:jc w:val="both"/>
        <w:rPr>
          <w:b/>
          <w:i/>
          <w:u w:val="single"/>
        </w:rPr>
      </w:pPr>
      <w:r w:rsidRPr="00287399">
        <w:rPr>
          <w:b/>
          <w:i/>
          <w:u w:val="single"/>
        </w:rPr>
        <w:t>Slumber Gold Pro</w:t>
      </w:r>
      <w:r w:rsidR="006E6CB1" w:rsidRPr="00287399">
        <w:rPr>
          <w:b/>
          <w:i/>
          <w:u w:val="single"/>
        </w:rPr>
        <w:t>ject</w:t>
      </w:r>
      <w:r w:rsidRPr="00287399">
        <w:rPr>
          <w:b/>
          <w:i/>
          <w:u w:val="single"/>
        </w:rPr>
        <w:t>, Nevada, USA</w:t>
      </w:r>
    </w:p>
    <w:p w14:paraId="0C23A078" w14:textId="77777777" w:rsidR="00773155" w:rsidRPr="00287399" w:rsidRDefault="00773155" w:rsidP="002D7D6A">
      <w:pPr>
        <w:jc w:val="both"/>
        <w:rPr>
          <w:rFonts w:eastAsiaTheme="minorHAnsi"/>
          <w:lang w:val="en-CA" w:eastAsia="en-CA"/>
        </w:rPr>
      </w:pPr>
    </w:p>
    <w:p w14:paraId="3EC3185E" w14:textId="4BE260F9" w:rsidR="00433245" w:rsidRPr="00287399" w:rsidRDefault="002A7D31" w:rsidP="00433245">
      <w:pPr>
        <w:jc w:val="both"/>
        <w:rPr>
          <w:rFonts w:eastAsiaTheme="minorHAnsi"/>
          <w:lang w:val="en-CA"/>
        </w:rPr>
      </w:pPr>
      <w:r w:rsidRPr="00287399">
        <w:rPr>
          <w:color w:val="000000"/>
        </w:rPr>
        <w:t xml:space="preserve">A technical update was provided on March 21, 2023 which identified an estimated </w:t>
      </w:r>
      <w:r w:rsidRPr="00F77049">
        <w:rPr>
          <w:color w:val="000000"/>
        </w:rPr>
        <w:t xml:space="preserve">exploration target of 150,000 ~ 450,000 ounces of gold. Refer to the press release from March 21, 2023 for additional details. </w:t>
      </w:r>
      <w:r w:rsidR="000E1672" w:rsidRPr="00F77049">
        <w:rPr>
          <w:color w:val="000000"/>
        </w:rPr>
        <w:t xml:space="preserve"> </w:t>
      </w:r>
      <w:r w:rsidR="00433245" w:rsidRPr="00F77049">
        <w:rPr>
          <w:rFonts w:eastAsiaTheme="minorHAnsi"/>
          <w:color w:val="292929"/>
          <w:spacing w:val="5"/>
          <w:shd w:val="clear" w:color="auto" w:fill="FFFFFF"/>
          <w:lang w:val="en-CA"/>
        </w:rPr>
        <w:t>The Company plans to drill, subject to capital availability, 3 to 6 RC holes to test for a potentially “sleeper-type” gold deposit.</w:t>
      </w:r>
    </w:p>
    <w:p w14:paraId="428B76E9" w14:textId="5D8A9BB1" w:rsidR="00A4446E" w:rsidRPr="00287399" w:rsidRDefault="00416A22" w:rsidP="00131A84">
      <w:pPr>
        <w:jc w:val="both"/>
        <w:rPr>
          <w:color w:val="000000"/>
        </w:rPr>
      </w:pPr>
      <w:r w:rsidRPr="00287399">
        <w:rPr>
          <w:color w:val="000000"/>
        </w:rPr>
        <w:t xml:space="preserve">  </w:t>
      </w:r>
      <w:r w:rsidR="00A4446E" w:rsidRPr="00287399">
        <w:rPr>
          <w:color w:val="000000"/>
        </w:rPr>
        <w:t xml:space="preserve"> </w:t>
      </w:r>
    </w:p>
    <w:p w14:paraId="6DBF658F" w14:textId="072ACF09" w:rsidR="00CD5A1D" w:rsidRPr="00287399" w:rsidRDefault="00CD5A1D" w:rsidP="00535B6E">
      <w:pPr>
        <w:jc w:val="both"/>
        <w:rPr>
          <w:rFonts w:eastAsiaTheme="minorHAnsi"/>
          <w:b/>
          <w:bCs/>
          <w:i/>
          <w:iCs/>
          <w:u w:val="single"/>
          <w:lang w:val="en-CA"/>
        </w:rPr>
      </w:pPr>
      <w:r w:rsidRPr="00287399">
        <w:rPr>
          <w:rFonts w:eastAsiaTheme="minorHAnsi"/>
          <w:b/>
          <w:bCs/>
          <w:i/>
          <w:iCs/>
          <w:u w:val="single"/>
          <w:lang w:val="en-CA"/>
        </w:rPr>
        <w:t>Discovery Bay Project, Nevada, USA</w:t>
      </w:r>
    </w:p>
    <w:p w14:paraId="631F769C" w14:textId="77777777" w:rsidR="00CD5A1D" w:rsidRPr="00287399" w:rsidRDefault="00CD5A1D" w:rsidP="00535B6E">
      <w:pPr>
        <w:jc w:val="both"/>
        <w:rPr>
          <w:rFonts w:eastAsiaTheme="minorHAnsi"/>
          <w:lang w:val="en-CA"/>
        </w:rPr>
      </w:pPr>
    </w:p>
    <w:p w14:paraId="130AB2CB" w14:textId="367ACCEC" w:rsidR="00CD5A1D" w:rsidRPr="00287399" w:rsidRDefault="00CD5A1D" w:rsidP="00CD5A1D">
      <w:pPr>
        <w:jc w:val="both"/>
        <w:rPr>
          <w:lang w:val="en-CA"/>
        </w:rPr>
      </w:pPr>
      <w:r w:rsidRPr="00F77049">
        <w:rPr>
          <w:lang w:val="en-CA"/>
        </w:rPr>
        <w:t>The Company is planning a drilling campaign in 202</w:t>
      </w:r>
      <w:r w:rsidR="007B58E9" w:rsidRPr="00F77049">
        <w:rPr>
          <w:lang w:val="en-CA"/>
        </w:rPr>
        <w:t>4</w:t>
      </w:r>
      <w:r w:rsidR="00557EED" w:rsidRPr="00F77049">
        <w:rPr>
          <w:lang w:val="en-CA"/>
        </w:rPr>
        <w:t xml:space="preserve"> subject to </w:t>
      </w:r>
      <w:r w:rsidR="00F77049" w:rsidRPr="00F77049">
        <w:rPr>
          <w:lang w:val="en-CA"/>
        </w:rPr>
        <w:t xml:space="preserve">drill and </w:t>
      </w:r>
      <w:r w:rsidRPr="00F77049">
        <w:rPr>
          <w:lang w:val="en-CA"/>
        </w:rPr>
        <w:t>capital availability.</w:t>
      </w:r>
      <w:r w:rsidRPr="00287399">
        <w:rPr>
          <w:lang w:val="en-CA"/>
        </w:rPr>
        <w:t xml:space="preserve"> </w:t>
      </w:r>
    </w:p>
    <w:p w14:paraId="0CC6D7C9" w14:textId="19BC1FE9" w:rsidR="00C853AD" w:rsidRPr="00287399" w:rsidRDefault="00C853AD">
      <w:pPr>
        <w:tabs>
          <w:tab w:val="left" w:pos="990"/>
          <w:tab w:val="left" w:pos="1260"/>
          <w:tab w:val="right" w:pos="10080"/>
        </w:tabs>
        <w:jc w:val="both"/>
        <w:rPr>
          <w:b/>
          <w:i/>
          <w:u w:val="single"/>
        </w:rPr>
      </w:pPr>
      <w:r w:rsidRPr="00287399">
        <w:rPr>
          <w:b/>
          <w:i/>
          <w:u w:val="single"/>
        </w:rPr>
        <w:lastRenderedPageBreak/>
        <w:t>SW Pipe Project, Nevada, USA</w:t>
      </w:r>
    </w:p>
    <w:p w14:paraId="4350EEB2" w14:textId="77777777" w:rsidR="00C853AD" w:rsidRPr="00287399" w:rsidRDefault="00C853AD">
      <w:pPr>
        <w:tabs>
          <w:tab w:val="left" w:pos="990"/>
          <w:tab w:val="left" w:pos="1260"/>
          <w:tab w:val="right" w:pos="10080"/>
        </w:tabs>
        <w:jc w:val="both"/>
      </w:pPr>
    </w:p>
    <w:p w14:paraId="13262C2F" w14:textId="6FEE530D" w:rsidR="00A0746C" w:rsidRPr="00287399" w:rsidRDefault="00F77049" w:rsidP="00A0746C">
      <w:pPr>
        <w:widowControl w:val="0"/>
        <w:overflowPunct w:val="0"/>
        <w:autoSpaceDE w:val="0"/>
        <w:autoSpaceDN w:val="0"/>
        <w:adjustRightInd w:val="0"/>
        <w:contextualSpacing/>
        <w:jc w:val="both"/>
        <w:textAlignment w:val="baseline"/>
      </w:pPr>
      <w:r>
        <w:t>In</w:t>
      </w:r>
      <w:r w:rsidR="00A0746C" w:rsidRPr="00287399">
        <w:t xml:space="preserve"> December 2022 the Company announced that it has identified four gold targets based on positive mercury (HG) vapor test results and potentially Carlin-type gold targets at its SW Pipe Gold Project. Refer to the press release of December 14, 2022 for more details.</w:t>
      </w:r>
    </w:p>
    <w:p w14:paraId="0A116D26" w14:textId="77777777" w:rsidR="00A0746C" w:rsidRPr="00287399" w:rsidRDefault="00A0746C" w:rsidP="00C853AD">
      <w:pPr>
        <w:jc w:val="both"/>
        <w:textAlignment w:val="top"/>
        <w:rPr>
          <w:rFonts w:eastAsiaTheme="minorHAnsi"/>
          <w:spacing w:val="5"/>
          <w:lang w:val="en-CA"/>
        </w:rPr>
      </w:pPr>
    </w:p>
    <w:p w14:paraId="2AE60289" w14:textId="411A5A17" w:rsidR="00310965" w:rsidRPr="00287399" w:rsidRDefault="00F77049" w:rsidP="00C853AD">
      <w:pPr>
        <w:jc w:val="both"/>
        <w:textAlignment w:val="top"/>
        <w:rPr>
          <w:rFonts w:eastAsiaTheme="minorHAnsi"/>
          <w:spacing w:val="5"/>
          <w:lang w:val="en-CA"/>
        </w:rPr>
      </w:pPr>
      <w:r>
        <w:rPr>
          <w:rFonts w:eastAsiaTheme="minorHAnsi"/>
          <w:spacing w:val="5"/>
          <w:lang w:val="en-CA"/>
        </w:rPr>
        <w:t>In</w:t>
      </w:r>
      <w:r w:rsidR="006D4A34" w:rsidRPr="00287399">
        <w:rPr>
          <w:rFonts w:eastAsiaTheme="minorHAnsi"/>
          <w:spacing w:val="5"/>
          <w:lang w:val="en-CA"/>
        </w:rPr>
        <w:t xml:space="preserve"> May 2023, the Company commence</w:t>
      </w:r>
      <w:r>
        <w:rPr>
          <w:rFonts w:eastAsiaTheme="minorHAnsi"/>
          <w:spacing w:val="5"/>
          <w:lang w:val="en-CA"/>
        </w:rPr>
        <w:t>d</w:t>
      </w:r>
      <w:r w:rsidR="006D4A34" w:rsidRPr="00287399">
        <w:rPr>
          <w:rFonts w:eastAsiaTheme="minorHAnsi"/>
          <w:spacing w:val="5"/>
          <w:lang w:val="en-CA"/>
        </w:rPr>
        <w:t xml:space="preserve"> a drill program. Due to challenging ground conditions and in an effort to preserve capital, the Company terminated the existing hole</w:t>
      </w:r>
      <w:r>
        <w:rPr>
          <w:rFonts w:eastAsiaTheme="minorHAnsi"/>
          <w:spacing w:val="5"/>
          <w:lang w:val="en-CA"/>
        </w:rPr>
        <w:t>.</w:t>
      </w:r>
      <w:r w:rsidR="006D4A34" w:rsidRPr="00F77049">
        <w:rPr>
          <w:rFonts w:eastAsiaTheme="minorHAnsi"/>
          <w:spacing w:val="5"/>
          <w:lang w:val="en-CA"/>
        </w:rPr>
        <w:t xml:space="preserve"> </w:t>
      </w:r>
      <w:r w:rsidR="00830AB3" w:rsidRPr="00F77049">
        <w:rPr>
          <w:rFonts w:eastAsiaTheme="minorHAnsi"/>
          <w:spacing w:val="5"/>
          <w:lang w:val="en-CA"/>
        </w:rPr>
        <w:t>SW Pipe Project remains a high priority target for the Company which will require a larger budget to adequately test the target at depth. For additional details refer to the press release</w:t>
      </w:r>
      <w:r w:rsidR="002A7D31" w:rsidRPr="00F77049">
        <w:rPr>
          <w:rFonts w:eastAsiaTheme="minorHAnsi"/>
          <w:spacing w:val="5"/>
          <w:lang w:val="en-CA"/>
        </w:rPr>
        <w:t>s</w:t>
      </w:r>
      <w:r w:rsidR="00830AB3" w:rsidRPr="00F77049">
        <w:rPr>
          <w:rFonts w:eastAsiaTheme="minorHAnsi"/>
          <w:spacing w:val="5"/>
          <w:lang w:val="en-CA"/>
        </w:rPr>
        <w:t xml:space="preserve"> from </w:t>
      </w:r>
      <w:r w:rsidR="002A7D31" w:rsidRPr="00F77049">
        <w:rPr>
          <w:rFonts w:eastAsiaTheme="minorHAnsi"/>
          <w:spacing w:val="5"/>
          <w:lang w:val="en-CA"/>
        </w:rPr>
        <w:t xml:space="preserve">April 27, 2023, May 10, </w:t>
      </w:r>
      <w:proofErr w:type="gramStart"/>
      <w:r w:rsidR="002A7D31" w:rsidRPr="00F77049">
        <w:rPr>
          <w:rFonts w:eastAsiaTheme="minorHAnsi"/>
          <w:spacing w:val="5"/>
          <w:lang w:val="en-CA"/>
        </w:rPr>
        <w:t>2023</w:t>
      </w:r>
      <w:proofErr w:type="gramEnd"/>
      <w:r w:rsidR="002A7D31" w:rsidRPr="00F77049">
        <w:rPr>
          <w:rFonts w:eastAsiaTheme="minorHAnsi"/>
          <w:spacing w:val="5"/>
          <w:lang w:val="en-CA"/>
        </w:rPr>
        <w:t xml:space="preserve"> and </w:t>
      </w:r>
      <w:r w:rsidR="00830AB3" w:rsidRPr="00F77049">
        <w:rPr>
          <w:rFonts w:eastAsiaTheme="minorHAnsi"/>
          <w:spacing w:val="5"/>
          <w:lang w:val="en-CA"/>
        </w:rPr>
        <w:t>June 7, 2023.</w:t>
      </w:r>
      <w:r w:rsidR="00830AB3" w:rsidRPr="00287399">
        <w:rPr>
          <w:rFonts w:eastAsiaTheme="minorHAnsi"/>
          <w:spacing w:val="5"/>
          <w:lang w:val="en-CA"/>
        </w:rPr>
        <w:t xml:space="preserve">  </w:t>
      </w:r>
      <w:r w:rsidR="00310965" w:rsidRPr="00287399">
        <w:rPr>
          <w:rFonts w:eastAsiaTheme="minorHAnsi"/>
          <w:spacing w:val="5"/>
          <w:lang w:val="en-CA"/>
        </w:rPr>
        <w:t xml:space="preserve"> </w:t>
      </w:r>
    </w:p>
    <w:p w14:paraId="567908CD" w14:textId="77777777" w:rsidR="003D7E9C" w:rsidRDefault="003D7E9C" w:rsidP="00830AB3">
      <w:pPr>
        <w:tabs>
          <w:tab w:val="left" w:pos="990"/>
          <w:tab w:val="left" w:pos="1260"/>
          <w:tab w:val="right" w:pos="10080"/>
        </w:tabs>
        <w:jc w:val="both"/>
        <w:rPr>
          <w:b/>
          <w:i/>
          <w:u w:val="single"/>
        </w:rPr>
      </w:pPr>
    </w:p>
    <w:p w14:paraId="0A45CF3E" w14:textId="49798891" w:rsidR="00830AB3" w:rsidRPr="00287399" w:rsidRDefault="00830AB3" w:rsidP="00830AB3">
      <w:pPr>
        <w:tabs>
          <w:tab w:val="left" w:pos="990"/>
          <w:tab w:val="left" w:pos="1260"/>
          <w:tab w:val="right" w:pos="10080"/>
        </w:tabs>
        <w:jc w:val="both"/>
        <w:rPr>
          <w:b/>
          <w:i/>
          <w:u w:val="single"/>
        </w:rPr>
      </w:pPr>
      <w:r w:rsidRPr="00287399">
        <w:rPr>
          <w:b/>
          <w:i/>
          <w:u w:val="single"/>
        </w:rPr>
        <w:t>Tripe T Gold Project, Nevada, USA</w:t>
      </w:r>
    </w:p>
    <w:p w14:paraId="2CD81A96" w14:textId="77777777" w:rsidR="003D7E9C" w:rsidRDefault="003D7E9C" w:rsidP="0065620F">
      <w:pPr>
        <w:jc w:val="both"/>
        <w:rPr>
          <w:bCs/>
        </w:rPr>
      </w:pPr>
    </w:p>
    <w:p w14:paraId="514EBF81" w14:textId="7C53906A" w:rsidR="0065620F" w:rsidRPr="0065620F" w:rsidRDefault="000D28C1" w:rsidP="0065620F">
      <w:pPr>
        <w:jc w:val="both"/>
        <w:rPr>
          <w:rFonts w:eastAsiaTheme="minorHAnsi"/>
          <w:lang w:val="en-CA"/>
        </w:rPr>
      </w:pPr>
      <w:r w:rsidRPr="00F77049">
        <w:rPr>
          <w:bCs/>
        </w:rPr>
        <w:t>In June 2023, t</w:t>
      </w:r>
      <w:r w:rsidR="008B73FD" w:rsidRPr="00F77049">
        <w:rPr>
          <w:rFonts w:eastAsiaTheme="minorHAnsi"/>
          <w:lang w:val="en-CA"/>
        </w:rPr>
        <w:t xml:space="preserve">he Company completed </w:t>
      </w:r>
      <w:r w:rsidR="0065620F" w:rsidRPr="00F77049">
        <w:rPr>
          <w:rFonts w:eastAsiaTheme="minorHAnsi"/>
          <w:lang w:val="en-CA"/>
        </w:rPr>
        <w:t xml:space="preserve">14 RC drill holes drilling approximately </w:t>
      </w:r>
      <w:r w:rsidR="008B73FD" w:rsidRPr="00F77049">
        <w:rPr>
          <w:rFonts w:eastAsiaTheme="minorHAnsi"/>
          <w:lang w:val="en-CA"/>
        </w:rPr>
        <w:t>720</w:t>
      </w:r>
      <w:r w:rsidR="00450AF2" w:rsidRPr="00F77049">
        <w:rPr>
          <w:rFonts w:eastAsiaTheme="minorHAnsi"/>
          <w:lang w:val="en-CA"/>
        </w:rPr>
        <w:t xml:space="preserve"> </w:t>
      </w:r>
      <w:r w:rsidR="008B73FD" w:rsidRPr="00F77049">
        <w:rPr>
          <w:rFonts w:eastAsiaTheme="minorHAnsi"/>
          <w:lang w:val="en-CA"/>
        </w:rPr>
        <w:t>meter</w:t>
      </w:r>
      <w:r w:rsidR="0065620F" w:rsidRPr="00F77049">
        <w:rPr>
          <w:rFonts w:eastAsiaTheme="minorHAnsi"/>
          <w:lang w:val="en-CA"/>
        </w:rPr>
        <w:t>s. This r</w:t>
      </w:r>
      <w:r w:rsidR="008B73FD" w:rsidRPr="00F77049">
        <w:rPr>
          <w:rFonts w:eastAsiaTheme="minorHAnsi"/>
          <w:lang w:val="en-CA"/>
        </w:rPr>
        <w:t>epresent</w:t>
      </w:r>
      <w:r w:rsidR="0065620F" w:rsidRPr="00F77049">
        <w:rPr>
          <w:rFonts w:eastAsiaTheme="minorHAnsi"/>
          <w:lang w:val="en-CA"/>
        </w:rPr>
        <w:t>ed</w:t>
      </w:r>
      <w:r w:rsidR="008B73FD" w:rsidRPr="00F77049">
        <w:rPr>
          <w:rFonts w:eastAsiaTheme="minorHAnsi"/>
          <w:lang w:val="en-CA"/>
        </w:rPr>
        <w:t xml:space="preserve"> the continuation of recent work to expand and confirm mineralization first identified in wide-spaced drilling by the Company in 2009. </w:t>
      </w:r>
      <w:r w:rsidR="0065620F" w:rsidRPr="00F77049">
        <w:rPr>
          <w:rFonts w:eastAsiaTheme="minorHAnsi"/>
          <w:color w:val="292929"/>
          <w:spacing w:val="5"/>
          <w:shd w:val="clear" w:color="auto" w:fill="FFFFFF"/>
          <w:lang w:val="en-CA"/>
        </w:rPr>
        <w:t>Almost all drill holes intersected one or more, near-surface mineralized quartz veins with up to</w:t>
      </w:r>
      <w:r w:rsidR="0065620F" w:rsidRPr="00F77049">
        <w:rPr>
          <w:rFonts w:eastAsiaTheme="minorHAnsi"/>
          <w:b/>
          <w:bCs/>
          <w:color w:val="292929"/>
          <w:spacing w:val="5"/>
          <w:shd w:val="clear" w:color="auto" w:fill="FFFFFF"/>
          <w:lang w:val="en-CA"/>
        </w:rPr>
        <w:t> </w:t>
      </w:r>
      <w:r w:rsidR="0065620F" w:rsidRPr="00F77049">
        <w:rPr>
          <w:rFonts w:eastAsiaTheme="minorHAnsi"/>
          <w:color w:val="292929"/>
          <w:spacing w:val="5"/>
          <w:shd w:val="clear" w:color="auto" w:fill="FFFFFF"/>
          <w:lang w:val="en-CA"/>
        </w:rPr>
        <w:t>4.57 m</w:t>
      </w:r>
      <w:r w:rsidR="0065620F" w:rsidRPr="00F77049">
        <w:rPr>
          <w:rFonts w:eastAsiaTheme="minorHAnsi"/>
          <w:b/>
          <w:bCs/>
          <w:color w:val="292929"/>
          <w:spacing w:val="5"/>
          <w:shd w:val="clear" w:color="auto" w:fill="FFFFFF"/>
          <w:lang w:val="en-CA"/>
        </w:rPr>
        <w:t xml:space="preserve"> </w:t>
      </w:r>
      <w:r w:rsidR="0065620F" w:rsidRPr="00F77049">
        <w:rPr>
          <w:rFonts w:eastAsiaTheme="minorHAnsi"/>
          <w:color w:val="292929"/>
          <w:spacing w:val="5"/>
          <w:shd w:val="clear" w:color="auto" w:fill="FFFFFF"/>
          <w:lang w:val="en-CA"/>
        </w:rPr>
        <w:t>averaging 2.40 g/t Au</w:t>
      </w:r>
      <w:r w:rsidR="0065620F" w:rsidRPr="00F77049">
        <w:rPr>
          <w:rFonts w:eastAsiaTheme="minorHAnsi"/>
          <w:b/>
          <w:bCs/>
          <w:color w:val="292929"/>
          <w:spacing w:val="5"/>
          <w:shd w:val="clear" w:color="auto" w:fill="FFFFFF"/>
          <w:lang w:val="en-CA"/>
        </w:rPr>
        <w:t> </w:t>
      </w:r>
      <w:r w:rsidR="0065620F" w:rsidRPr="00F77049">
        <w:rPr>
          <w:rFonts w:eastAsiaTheme="minorHAnsi"/>
          <w:color w:val="292929"/>
          <w:spacing w:val="5"/>
          <w:shd w:val="clear" w:color="auto" w:fill="FFFFFF"/>
          <w:lang w:val="en-CA"/>
        </w:rPr>
        <w:t xml:space="preserve">in drill hole TT-9 and 9.14 m averaging 1.39 g/t Au in drill hole TT-11. With the confirmation that gold mineralization is expanding underneath the carbonate unit to the east (Upper Limestone), </w:t>
      </w:r>
      <w:r w:rsidR="00A0746C" w:rsidRPr="00F77049">
        <w:rPr>
          <w:rFonts w:eastAsiaTheme="minorHAnsi"/>
          <w:color w:val="292929"/>
          <w:spacing w:val="5"/>
          <w:shd w:val="clear" w:color="auto" w:fill="FFFFFF"/>
          <w:lang w:val="en-CA"/>
        </w:rPr>
        <w:t>t</w:t>
      </w:r>
      <w:r w:rsidR="0065620F" w:rsidRPr="00F77049">
        <w:rPr>
          <w:rFonts w:eastAsiaTheme="minorHAnsi"/>
          <w:color w:val="292929"/>
          <w:spacing w:val="5"/>
          <w:shd w:val="clear" w:color="auto" w:fill="FFFFFF"/>
          <w:lang w:val="en-CA"/>
        </w:rPr>
        <w:t xml:space="preserve">he Company </w:t>
      </w:r>
      <w:r w:rsidR="00481481">
        <w:rPr>
          <w:rFonts w:eastAsiaTheme="minorHAnsi"/>
          <w:color w:val="292929"/>
          <w:spacing w:val="5"/>
          <w:shd w:val="clear" w:color="auto" w:fill="FFFFFF"/>
          <w:lang w:val="en-CA"/>
        </w:rPr>
        <w:t>conducted and completed a mapping and rock chip sampling program to extend the know near-surface, oxide gold mineralization of the norther</w:t>
      </w:r>
      <w:r w:rsidR="007B6C52">
        <w:rPr>
          <w:rFonts w:eastAsiaTheme="minorHAnsi"/>
          <w:color w:val="292929"/>
          <w:spacing w:val="5"/>
          <w:shd w:val="clear" w:color="auto" w:fill="FFFFFF"/>
          <w:lang w:val="en-CA"/>
        </w:rPr>
        <w:t>n</w:t>
      </w:r>
      <w:r w:rsidR="00481481">
        <w:rPr>
          <w:rFonts w:eastAsiaTheme="minorHAnsi"/>
          <w:color w:val="292929"/>
          <w:spacing w:val="5"/>
          <w:shd w:val="clear" w:color="auto" w:fill="FFFFFF"/>
          <w:lang w:val="en-CA"/>
        </w:rPr>
        <w:t xml:space="preserve"> portion of the property. Twenty-seven rock samples were taken of which 24 returned gold values in the anomalous to high-grade range with 5 samples between 2.71 g/t Au and 9.63 g/t Au. These samples will help to extend the potential target area by a kilometer to the north of the recently drilled area. </w:t>
      </w:r>
      <w:r w:rsidR="007B6C52">
        <w:rPr>
          <w:rFonts w:eastAsiaTheme="minorHAnsi"/>
          <w:color w:val="292929"/>
          <w:spacing w:val="5"/>
          <w:shd w:val="clear" w:color="auto" w:fill="FFFFFF"/>
          <w:lang w:val="en-CA"/>
        </w:rPr>
        <w:t xml:space="preserve">An IP (Induced Polarization) geophysical survey is also planned subject to capital availability. </w:t>
      </w:r>
      <w:r w:rsidR="00A0746C" w:rsidRPr="00F77049">
        <w:rPr>
          <w:rFonts w:eastAsiaTheme="minorHAnsi"/>
          <w:color w:val="292929"/>
          <w:spacing w:val="5"/>
          <w:shd w:val="clear" w:color="auto" w:fill="FFFFFF"/>
          <w:lang w:val="en-CA"/>
        </w:rPr>
        <w:t>For additional details r</w:t>
      </w:r>
      <w:r w:rsidR="0065620F" w:rsidRPr="00F77049">
        <w:rPr>
          <w:rFonts w:eastAsiaTheme="minorHAnsi"/>
          <w:color w:val="292929"/>
          <w:spacing w:val="5"/>
          <w:shd w:val="clear" w:color="auto" w:fill="FFFFFF"/>
          <w:lang w:val="en-CA"/>
        </w:rPr>
        <w:t xml:space="preserve">efer to the press release from </w:t>
      </w:r>
      <w:r w:rsidR="00481481">
        <w:rPr>
          <w:rFonts w:eastAsiaTheme="minorHAnsi"/>
          <w:color w:val="292929"/>
          <w:spacing w:val="5"/>
          <w:shd w:val="clear" w:color="auto" w:fill="FFFFFF"/>
          <w:lang w:val="en-CA"/>
        </w:rPr>
        <w:t>September</w:t>
      </w:r>
      <w:r w:rsidR="0065620F" w:rsidRPr="00F77049">
        <w:rPr>
          <w:rFonts w:eastAsiaTheme="minorHAnsi"/>
          <w:color w:val="292929"/>
          <w:spacing w:val="5"/>
          <w:shd w:val="clear" w:color="auto" w:fill="FFFFFF"/>
          <w:lang w:val="en-CA"/>
        </w:rPr>
        <w:t xml:space="preserve"> </w:t>
      </w:r>
      <w:r w:rsidR="00481481">
        <w:rPr>
          <w:rFonts w:eastAsiaTheme="minorHAnsi"/>
          <w:color w:val="292929"/>
          <w:spacing w:val="5"/>
          <w:shd w:val="clear" w:color="auto" w:fill="FFFFFF"/>
          <w:lang w:val="en-CA"/>
        </w:rPr>
        <w:t>11</w:t>
      </w:r>
      <w:r w:rsidR="0065620F" w:rsidRPr="00F77049">
        <w:rPr>
          <w:rFonts w:eastAsiaTheme="minorHAnsi"/>
          <w:color w:val="292929"/>
          <w:spacing w:val="5"/>
          <w:shd w:val="clear" w:color="auto" w:fill="FFFFFF"/>
          <w:lang w:val="en-CA"/>
        </w:rPr>
        <w:t>, 2023</w:t>
      </w:r>
      <w:r w:rsidR="00A0746C" w:rsidRPr="00F77049">
        <w:rPr>
          <w:rFonts w:eastAsiaTheme="minorHAnsi"/>
          <w:color w:val="292929"/>
          <w:spacing w:val="5"/>
          <w:shd w:val="clear" w:color="auto" w:fill="FFFFFF"/>
          <w:lang w:val="en-CA"/>
        </w:rPr>
        <w:t>.</w:t>
      </w:r>
    </w:p>
    <w:p w14:paraId="66803528" w14:textId="55159C7E" w:rsidR="00830AB3" w:rsidRDefault="00830AB3" w:rsidP="000D28C1">
      <w:pPr>
        <w:tabs>
          <w:tab w:val="left" w:pos="990"/>
          <w:tab w:val="left" w:pos="1260"/>
          <w:tab w:val="right" w:pos="10080"/>
        </w:tabs>
        <w:jc w:val="both"/>
        <w:rPr>
          <w:rFonts w:eastAsiaTheme="minorHAnsi"/>
          <w:lang w:val="en-CA"/>
        </w:rPr>
      </w:pPr>
    </w:p>
    <w:p w14:paraId="3DCF800A" w14:textId="77777777" w:rsidR="00C56535" w:rsidRPr="00B15140" w:rsidRDefault="00122160" w:rsidP="00C56535">
      <w:pPr>
        <w:tabs>
          <w:tab w:val="left" w:pos="990"/>
          <w:tab w:val="left" w:pos="1260"/>
          <w:tab w:val="right" w:pos="10080"/>
        </w:tabs>
        <w:jc w:val="both"/>
        <w:rPr>
          <w:b/>
          <w:sz w:val="24"/>
          <w:szCs w:val="24"/>
        </w:rPr>
      </w:pPr>
      <w:r w:rsidRPr="008416F8">
        <w:rPr>
          <w:b/>
          <w:sz w:val="24"/>
          <w:szCs w:val="24"/>
        </w:rPr>
        <w:t>S</w:t>
      </w:r>
      <w:r w:rsidR="004268EF" w:rsidRPr="008416F8">
        <w:rPr>
          <w:b/>
          <w:sz w:val="24"/>
          <w:szCs w:val="24"/>
        </w:rPr>
        <w:t>ummary of Quarterly Results</w:t>
      </w:r>
    </w:p>
    <w:p w14:paraId="5C6FE037" w14:textId="77777777" w:rsidR="00C56535" w:rsidRDefault="00C56535" w:rsidP="00C56535">
      <w:pPr>
        <w:jc w:val="both"/>
        <w:rPr>
          <w:lang w:val="en-GB"/>
        </w:rPr>
      </w:pPr>
    </w:p>
    <w:tbl>
      <w:tblPr>
        <w:tblW w:w="10046" w:type="dxa"/>
        <w:jc w:val="right"/>
        <w:tblLayout w:type="fixed"/>
        <w:tblLook w:val="0000" w:firstRow="0" w:lastRow="0" w:firstColumn="0" w:lastColumn="0" w:noHBand="0" w:noVBand="0"/>
      </w:tblPr>
      <w:tblGrid>
        <w:gridCol w:w="4253"/>
        <w:gridCol w:w="1473"/>
        <w:gridCol w:w="1440"/>
        <w:gridCol w:w="1440"/>
        <w:gridCol w:w="1440"/>
      </w:tblGrid>
      <w:tr w:rsidR="004546ED" w14:paraId="58D982E3" w14:textId="77777777" w:rsidTr="00384C9C">
        <w:trPr>
          <w:jc w:val="right"/>
        </w:trPr>
        <w:tc>
          <w:tcPr>
            <w:tcW w:w="4253" w:type="dxa"/>
            <w:tcBorders>
              <w:top w:val="double" w:sz="6" w:space="0" w:color="auto"/>
              <w:left w:val="nil"/>
              <w:bottom w:val="single" w:sz="4" w:space="0" w:color="auto"/>
              <w:right w:val="nil"/>
            </w:tcBorders>
          </w:tcPr>
          <w:p w14:paraId="4AF97CFD" w14:textId="77777777" w:rsidR="004546ED" w:rsidRDefault="004546ED" w:rsidP="004546ED">
            <w:pPr>
              <w:tabs>
                <w:tab w:val="left" w:pos="342"/>
                <w:tab w:val="left" w:pos="522"/>
              </w:tabs>
              <w:ind w:left="-828"/>
              <w:jc w:val="both"/>
              <w:rPr>
                <w:lang w:val="en-GB"/>
              </w:rPr>
            </w:pPr>
          </w:p>
        </w:tc>
        <w:tc>
          <w:tcPr>
            <w:tcW w:w="1473" w:type="dxa"/>
            <w:tcBorders>
              <w:top w:val="double" w:sz="6" w:space="0" w:color="auto"/>
              <w:left w:val="nil"/>
              <w:bottom w:val="single" w:sz="4" w:space="0" w:color="auto"/>
              <w:right w:val="nil"/>
            </w:tcBorders>
          </w:tcPr>
          <w:p w14:paraId="4F6CA2CB" w14:textId="26223A1A" w:rsidR="004546ED" w:rsidRPr="004F576D" w:rsidRDefault="004546ED" w:rsidP="004546ED">
            <w:pPr>
              <w:tabs>
                <w:tab w:val="left" w:pos="2"/>
                <w:tab w:val="decimal" w:pos="936"/>
              </w:tabs>
              <w:ind w:right="-11"/>
              <w:jc w:val="right"/>
              <w:rPr>
                <w:lang w:val="en-GB"/>
              </w:rPr>
            </w:pPr>
            <w:r w:rsidRPr="004F576D">
              <w:rPr>
                <w:lang w:val="en-GB"/>
              </w:rPr>
              <w:t xml:space="preserve">Three month period ended </w:t>
            </w:r>
            <w:r>
              <w:rPr>
                <w:lang w:val="en-GB"/>
              </w:rPr>
              <w:t>February</w:t>
            </w:r>
            <w:r w:rsidRPr="004F576D">
              <w:rPr>
                <w:lang w:val="en-GB"/>
              </w:rPr>
              <w:t xml:space="preserve"> </w:t>
            </w:r>
            <w:r>
              <w:rPr>
                <w:lang w:val="en-GB"/>
              </w:rPr>
              <w:t>29</w:t>
            </w:r>
            <w:r w:rsidRPr="004F576D">
              <w:rPr>
                <w:lang w:val="en-GB"/>
              </w:rPr>
              <w:t>,</w:t>
            </w:r>
          </w:p>
          <w:p w14:paraId="19D23537" w14:textId="63C0A2A9" w:rsidR="004546ED" w:rsidRPr="004F576D" w:rsidRDefault="004546ED" w:rsidP="004546ED">
            <w:pPr>
              <w:tabs>
                <w:tab w:val="left" w:pos="2"/>
                <w:tab w:val="decimal" w:pos="936"/>
              </w:tabs>
              <w:ind w:right="-11"/>
              <w:jc w:val="right"/>
              <w:rPr>
                <w:lang w:val="en-GB"/>
              </w:rPr>
            </w:pPr>
            <w:r w:rsidRPr="004F576D">
              <w:rPr>
                <w:lang w:val="en-GB"/>
              </w:rPr>
              <w:t xml:space="preserve"> 202</w:t>
            </w:r>
            <w:r>
              <w:rPr>
                <w:lang w:val="en-GB"/>
              </w:rPr>
              <w:t>4</w:t>
            </w:r>
            <w:r w:rsidRPr="004F576D">
              <w:rPr>
                <w:lang w:val="en-GB"/>
              </w:rPr>
              <w:t xml:space="preserve">  </w:t>
            </w:r>
          </w:p>
        </w:tc>
        <w:tc>
          <w:tcPr>
            <w:tcW w:w="1440" w:type="dxa"/>
            <w:tcBorders>
              <w:top w:val="double" w:sz="6" w:space="0" w:color="auto"/>
              <w:left w:val="nil"/>
              <w:bottom w:val="single" w:sz="4" w:space="0" w:color="auto"/>
              <w:right w:val="nil"/>
            </w:tcBorders>
          </w:tcPr>
          <w:p w14:paraId="3EDCEA56" w14:textId="77777777" w:rsidR="004546ED" w:rsidRPr="004F576D" w:rsidRDefault="004546ED" w:rsidP="004546ED">
            <w:pPr>
              <w:tabs>
                <w:tab w:val="left" w:pos="2"/>
                <w:tab w:val="decimal" w:pos="936"/>
              </w:tabs>
              <w:ind w:right="-11"/>
              <w:jc w:val="right"/>
              <w:rPr>
                <w:lang w:val="en-GB"/>
              </w:rPr>
            </w:pPr>
            <w:r w:rsidRPr="004F576D">
              <w:rPr>
                <w:lang w:val="en-GB"/>
              </w:rPr>
              <w:t xml:space="preserve">Three month period ended </w:t>
            </w:r>
            <w:r>
              <w:rPr>
                <w:lang w:val="en-GB"/>
              </w:rPr>
              <w:t>November</w:t>
            </w:r>
            <w:r w:rsidRPr="004F576D">
              <w:rPr>
                <w:lang w:val="en-GB"/>
              </w:rPr>
              <w:t xml:space="preserve"> </w:t>
            </w:r>
            <w:r>
              <w:rPr>
                <w:lang w:val="en-GB"/>
              </w:rPr>
              <w:t>30</w:t>
            </w:r>
            <w:r w:rsidRPr="004F576D">
              <w:rPr>
                <w:lang w:val="en-GB"/>
              </w:rPr>
              <w:t>,</w:t>
            </w:r>
          </w:p>
          <w:p w14:paraId="11CEAB9B" w14:textId="3C16AD8C" w:rsidR="004546ED" w:rsidRPr="006D1D11" w:rsidRDefault="004546ED" w:rsidP="004546ED">
            <w:pPr>
              <w:tabs>
                <w:tab w:val="left" w:pos="2"/>
                <w:tab w:val="decimal" w:pos="936"/>
              </w:tabs>
              <w:ind w:right="-11"/>
              <w:jc w:val="right"/>
              <w:rPr>
                <w:lang w:val="en-GB"/>
              </w:rPr>
            </w:pPr>
            <w:r w:rsidRPr="004F576D">
              <w:rPr>
                <w:lang w:val="en-GB"/>
              </w:rPr>
              <w:t xml:space="preserve"> 202</w:t>
            </w:r>
            <w:r>
              <w:rPr>
                <w:lang w:val="en-GB"/>
              </w:rPr>
              <w:t>3</w:t>
            </w:r>
            <w:r w:rsidRPr="004F576D">
              <w:rPr>
                <w:lang w:val="en-GB"/>
              </w:rPr>
              <w:t xml:space="preserve">  </w:t>
            </w:r>
          </w:p>
        </w:tc>
        <w:tc>
          <w:tcPr>
            <w:tcW w:w="1440" w:type="dxa"/>
            <w:tcBorders>
              <w:top w:val="double" w:sz="6" w:space="0" w:color="auto"/>
              <w:left w:val="nil"/>
              <w:bottom w:val="single" w:sz="4" w:space="0" w:color="auto"/>
              <w:right w:val="nil"/>
            </w:tcBorders>
          </w:tcPr>
          <w:p w14:paraId="7C114AF2" w14:textId="77777777" w:rsidR="004546ED" w:rsidRPr="004F576D" w:rsidRDefault="004546ED" w:rsidP="004546ED">
            <w:pPr>
              <w:tabs>
                <w:tab w:val="left" w:pos="2"/>
                <w:tab w:val="decimal" w:pos="936"/>
              </w:tabs>
              <w:ind w:right="-11"/>
              <w:jc w:val="right"/>
              <w:rPr>
                <w:lang w:val="en-GB"/>
              </w:rPr>
            </w:pPr>
            <w:r w:rsidRPr="004F576D">
              <w:rPr>
                <w:lang w:val="en-GB"/>
              </w:rPr>
              <w:t xml:space="preserve">Three month period ended </w:t>
            </w:r>
            <w:r>
              <w:rPr>
                <w:lang w:val="en-GB"/>
              </w:rPr>
              <w:t>August</w:t>
            </w:r>
            <w:r w:rsidRPr="004F576D">
              <w:rPr>
                <w:lang w:val="en-GB"/>
              </w:rPr>
              <w:t xml:space="preserve"> </w:t>
            </w:r>
            <w:r>
              <w:rPr>
                <w:lang w:val="en-GB"/>
              </w:rPr>
              <w:t>31</w:t>
            </w:r>
            <w:r w:rsidRPr="004F576D">
              <w:rPr>
                <w:lang w:val="en-GB"/>
              </w:rPr>
              <w:t>,</w:t>
            </w:r>
          </w:p>
          <w:p w14:paraId="743C2668" w14:textId="3E750F90" w:rsidR="004546ED" w:rsidRPr="00685619" w:rsidRDefault="004546ED" w:rsidP="004546ED">
            <w:pPr>
              <w:tabs>
                <w:tab w:val="left" w:pos="2"/>
                <w:tab w:val="decimal" w:pos="936"/>
              </w:tabs>
              <w:ind w:right="-11"/>
              <w:jc w:val="right"/>
              <w:rPr>
                <w:highlight w:val="yellow"/>
                <w:lang w:val="en-GB"/>
              </w:rPr>
            </w:pPr>
            <w:r w:rsidRPr="004F576D">
              <w:rPr>
                <w:lang w:val="en-GB"/>
              </w:rPr>
              <w:t xml:space="preserve"> 202</w:t>
            </w:r>
            <w:r>
              <w:rPr>
                <w:lang w:val="en-GB"/>
              </w:rPr>
              <w:t>3</w:t>
            </w:r>
            <w:r w:rsidRPr="004F576D">
              <w:rPr>
                <w:lang w:val="en-GB"/>
              </w:rPr>
              <w:t xml:space="preserve">  </w:t>
            </w:r>
          </w:p>
        </w:tc>
        <w:tc>
          <w:tcPr>
            <w:tcW w:w="1440" w:type="dxa"/>
            <w:tcBorders>
              <w:top w:val="double" w:sz="6" w:space="0" w:color="auto"/>
              <w:left w:val="nil"/>
              <w:bottom w:val="single" w:sz="4" w:space="0" w:color="auto"/>
              <w:right w:val="nil"/>
            </w:tcBorders>
          </w:tcPr>
          <w:p w14:paraId="3A90DF15" w14:textId="77777777" w:rsidR="004546ED" w:rsidRPr="004F576D" w:rsidRDefault="004546ED" w:rsidP="004546ED">
            <w:pPr>
              <w:tabs>
                <w:tab w:val="left" w:pos="2"/>
                <w:tab w:val="decimal" w:pos="936"/>
              </w:tabs>
              <w:ind w:right="-11"/>
              <w:jc w:val="right"/>
              <w:rPr>
                <w:lang w:val="en-GB"/>
              </w:rPr>
            </w:pPr>
            <w:r w:rsidRPr="004F576D">
              <w:rPr>
                <w:lang w:val="en-GB"/>
              </w:rPr>
              <w:t xml:space="preserve">Three month period ended </w:t>
            </w:r>
            <w:r>
              <w:rPr>
                <w:lang w:val="en-GB"/>
              </w:rPr>
              <w:t>May</w:t>
            </w:r>
            <w:r w:rsidRPr="004F576D">
              <w:rPr>
                <w:lang w:val="en-GB"/>
              </w:rPr>
              <w:t xml:space="preserve"> </w:t>
            </w:r>
            <w:r>
              <w:rPr>
                <w:lang w:val="en-GB"/>
              </w:rPr>
              <w:t>31</w:t>
            </w:r>
            <w:r w:rsidRPr="004F576D">
              <w:rPr>
                <w:lang w:val="en-GB"/>
              </w:rPr>
              <w:t>,</w:t>
            </w:r>
          </w:p>
          <w:p w14:paraId="39143F9F" w14:textId="62CAF0EF" w:rsidR="004546ED" w:rsidRPr="00C73C76" w:rsidRDefault="004546ED" w:rsidP="004546ED">
            <w:pPr>
              <w:tabs>
                <w:tab w:val="left" w:pos="2"/>
                <w:tab w:val="decimal" w:pos="936"/>
              </w:tabs>
              <w:ind w:right="-11"/>
              <w:jc w:val="right"/>
              <w:rPr>
                <w:lang w:val="en-GB"/>
              </w:rPr>
            </w:pPr>
            <w:r w:rsidRPr="004F576D">
              <w:rPr>
                <w:lang w:val="en-GB"/>
              </w:rPr>
              <w:t xml:space="preserve"> 202</w:t>
            </w:r>
            <w:r>
              <w:rPr>
                <w:lang w:val="en-GB"/>
              </w:rPr>
              <w:t>3</w:t>
            </w:r>
            <w:r w:rsidRPr="004F576D">
              <w:rPr>
                <w:lang w:val="en-GB"/>
              </w:rPr>
              <w:t xml:space="preserve">  </w:t>
            </w:r>
          </w:p>
        </w:tc>
      </w:tr>
      <w:tr w:rsidR="004546ED" w14:paraId="595608D4" w14:textId="77777777" w:rsidTr="00384C9C">
        <w:trPr>
          <w:jc w:val="right"/>
        </w:trPr>
        <w:tc>
          <w:tcPr>
            <w:tcW w:w="4253" w:type="dxa"/>
            <w:tcBorders>
              <w:top w:val="single" w:sz="4" w:space="0" w:color="auto"/>
              <w:left w:val="nil"/>
              <w:bottom w:val="nil"/>
              <w:right w:val="nil"/>
            </w:tcBorders>
          </w:tcPr>
          <w:p w14:paraId="1633F31D" w14:textId="77777777" w:rsidR="004546ED" w:rsidRDefault="004546ED" w:rsidP="004546ED">
            <w:pPr>
              <w:tabs>
                <w:tab w:val="left" w:pos="342"/>
                <w:tab w:val="left" w:pos="522"/>
              </w:tabs>
              <w:jc w:val="both"/>
              <w:rPr>
                <w:lang w:val="en-GB"/>
              </w:rPr>
            </w:pPr>
            <w:r>
              <w:rPr>
                <w:lang w:val="en-GB"/>
              </w:rPr>
              <w:t>Total assets</w:t>
            </w:r>
          </w:p>
        </w:tc>
        <w:tc>
          <w:tcPr>
            <w:tcW w:w="1473" w:type="dxa"/>
            <w:tcBorders>
              <w:top w:val="single" w:sz="4" w:space="0" w:color="auto"/>
              <w:left w:val="nil"/>
              <w:bottom w:val="nil"/>
              <w:right w:val="nil"/>
            </w:tcBorders>
          </w:tcPr>
          <w:p w14:paraId="62026059" w14:textId="01F88CBF" w:rsidR="004546ED" w:rsidRPr="0050382F" w:rsidRDefault="004546ED" w:rsidP="004546ED">
            <w:pPr>
              <w:tabs>
                <w:tab w:val="left" w:pos="2"/>
                <w:tab w:val="decimal" w:pos="1242"/>
              </w:tabs>
              <w:jc w:val="right"/>
              <w:rPr>
                <w:lang w:val="en-GB"/>
              </w:rPr>
            </w:pPr>
            <w:r w:rsidRPr="0050382F">
              <w:rPr>
                <w:lang w:val="en-GB"/>
              </w:rPr>
              <w:t>$ 3,</w:t>
            </w:r>
            <w:r>
              <w:rPr>
                <w:lang w:val="en-GB"/>
              </w:rPr>
              <w:t>559</w:t>
            </w:r>
            <w:r w:rsidRPr="0050382F">
              <w:rPr>
                <w:lang w:val="en-GB"/>
              </w:rPr>
              <w:t>,</w:t>
            </w:r>
            <w:r>
              <w:rPr>
                <w:lang w:val="en-GB"/>
              </w:rPr>
              <w:t>08</w:t>
            </w:r>
            <w:r w:rsidRPr="0050382F">
              <w:rPr>
                <w:lang w:val="en-GB"/>
              </w:rPr>
              <w:t xml:space="preserve">          </w:t>
            </w:r>
          </w:p>
        </w:tc>
        <w:tc>
          <w:tcPr>
            <w:tcW w:w="1440" w:type="dxa"/>
            <w:tcBorders>
              <w:top w:val="single" w:sz="4" w:space="0" w:color="auto"/>
              <w:left w:val="nil"/>
              <w:bottom w:val="nil"/>
              <w:right w:val="nil"/>
            </w:tcBorders>
          </w:tcPr>
          <w:p w14:paraId="103714BF" w14:textId="470F2EAE" w:rsidR="004546ED" w:rsidRPr="006D1D11" w:rsidRDefault="004546ED" w:rsidP="004546ED">
            <w:pPr>
              <w:tabs>
                <w:tab w:val="left" w:pos="2"/>
                <w:tab w:val="decimal" w:pos="1242"/>
              </w:tabs>
              <w:jc w:val="right"/>
              <w:rPr>
                <w:lang w:val="en-GB"/>
              </w:rPr>
            </w:pPr>
            <w:r w:rsidRPr="0050382F">
              <w:rPr>
                <w:lang w:val="en-GB"/>
              </w:rPr>
              <w:t>$ 3,6</w:t>
            </w:r>
            <w:r>
              <w:rPr>
                <w:lang w:val="en-GB"/>
              </w:rPr>
              <w:t>76</w:t>
            </w:r>
            <w:r w:rsidRPr="0050382F">
              <w:rPr>
                <w:lang w:val="en-GB"/>
              </w:rPr>
              <w:t>,</w:t>
            </w:r>
            <w:r>
              <w:rPr>
                <w:lang w:val="en-GB"/>
              </w:rPr>
              <w:t>380</w:t>
            </w:r>
            <w:r w:rsidRPr="0050382F">
              <w:rPr>
                <w:lang w:val="en-GB"/>
              </w:rPr>
              <w:t xml:space="preserve">          </w:t>
            </w:r>
          </w:p>
        </w:tc>
        <w:tc>
          <w:tcPr>
            <w:tcW w:w="1440" w:type="dxa"/>
            <w:tcBorders>
              <w:top w:val="single" w:sz="4" w:space="0" w:color="auto"/>
              <w:left w:val="nil"/>
              <w:bottom w:val="nil"/>
              <w:right w:val="nil"/>
            </w:tcBorders>
          </w:tcPr>
          <w:p w14:paraId="2C2391C5" w14:textId="0FAF8D81" w:rsidR="004546ED" w:rsidRPr="00A448E8" w:rsidRDefault="004546ED" w:rsidP="004546ED">
            <w:pPr>
              <w:tabs>
                <w:tab w:val="left" w:pos="2"/>
                <w:tab w:val="decimal" w:pos="1242"/>
              </w:tabs>
              <w:jc w:val="right"/>
              <w:rPr>
                <w:lang w:val="en-GB"/>
              </w:rPr>
            </w:pPr>
            <w:r w:rsidRPr="0050382F">
              <w:rPr>
                <w:lang w:val="en-GB"/>
              </w:rPr>
              <w:t>$ 3,6</w:t>
            </w:r>
            <w:r>
              <w:rPr>
                <w:lang w:val="en-GB"/>
              </w:rPr>
              <w:t>76</w:t>
            </w:r>
            <w:r w:rsidRPr="0050382F">
              <w:rPr>
                <w:lang w:val="en-GB"/>
              </w:rPr>
              <w:t>,</w:t>
            </w:r>
            <w:r>
              <w:rPr>
                <w:lang w:val="en-GB"/>
              </w:rPr>
              <w:t>033</w:t>
            </w:r>
            <w:r w:rsidRPr="0050382F">
              <w:rPr>
                <w:lang w:val="en-GB"/>
              </w:rPr>
              <w:t xml:space="preserve">          </w:t>
            </w:r>
          </w:p>
        </w:tc>
        <w:tc>
          <w:tcPr>
            <w:tcW w:w="1440" w:type="dxa"/>
            <w:tcBorders>
              <w:top w:val="single" w:sz="4" w:space="0" w:color="auto"/>
              <w:left w:val="nil"/>
              <w:bottom w:val="nil"/>
              <w:right w:val="nil"/>
            </w:tcBorders>
          </w:tcPr>
          <w:p w14:paraId="6B9BF6C0" w14:textId="5603B677" w:rsidR="004546ED" w:rsidRPr="00A448E8" w:rsidRDefault="004546ED" w:rsidP="004546ED">
            <w:pPr>
              <w:tabs>
                <w:tab w:val="left" w:pos="2"/>
                <w:tab w:val="decimal" w:pos="1242"/>
              </w:tabs>
              <w:jc w:val="right"/>
              <w:rPr>
                <w:lang w:val="en-GB"/>
              </w:rPr>
            </w:pPr>
            <w:r w:rsidRPr="00E1297D">
              <w:rPr>
                <w:lang w:val="en-GB"/>
              </w:rPr>
              <w:t xml:space="preserve">$ </w:t>
            </w:r>
            <w:r>
              <w:rPr>
                <w:lang w:val="en-GB"/>
              </w:rPr>
              <w:t>4</w:t>
            </w:r>
            <w:r w:rsidRPr="00E1297D">
              <w:rPr>
                <w:lang w:val="en-GB"/>
              </w:rPr>
              <w:t>,</w:t>
            </w:r>
            <w:r>
              <w:rPr>
                <w:lang w:val="en-GB"/>
              </w:rPr>
              <w:t>628</w:t>
            </w:r>
            <w:r w:rsidRPr="00E1297D">
              <w:rPr>
                <w:lang w:val="en-GB"/>
              </w:rPr>
              <w:t>,</w:t>
            </w:r>
            <w:r>
              <w:rPr>
                <w:lang w:val="en-GB"/>
              </w:rPr>
              <w:t>683</w:t>
            </w:r>
            <w:r w:rsidRPr="00E1297D">
              <w:rPr>
                <w:lang w:val="en-GB"/>
              </w:rPr>
              <w:t xml:space="preserve">          </w:t>
            </w:r>
          </w:p>
        </w:tc>
      </w:tr>
      <w:tr w:rsidR="004546ED" w14:paraId="3D455611" w14:textId="77777777" w:rsidTr="00384C9C">
        <w:trPr>
          <w:jc w:val="right"/>
        </w:trPr>
        <w:tc>
          <w:tcPr>
            <w:tcW w:w="4253" w:type="dxa"/>
            <w:tcBorders>
              <w:top w:val="nil"/>
              <w:left w:val="nil"/>
              <w:bottom w:val="nil"/>
              <w:right w:val="nil"/>
            </w:tcBorders>
          </w:tcPr>
          <w:p w14:paraId="549D8834" w14:textId="129A459B" w:rsidR="004546ED" w:rsidRDefault="004546ED" w:rsidP="004546ED">
            <w:pPr>
              <w:tabs>
                <w:tab w:val="left" w:pos="342"/>
                <w:tab w:val="left" w:pos="522"/>
              </w:tabs>
              <w:jc w:val="both"/>
              <w:rPr>
                <w:lang w:val="en-GB"/>
              </w:rPr>
            </w:pPr>
            <w:r>
              <w:rPr>
                <w:lang w:val="en-GB"/>
              </w:rPr>
              <w:t>Working capital  (deficiency)</w:t>
            </w:r>
          </w:p>
        </w:tc>
        <w:tc>
          <w:tcPr>
            <w:tcW w:w="1473" w:type="dxa"/>
            <w:tcBorders>
              <w:top w:val="nil"/>
              <w:left w:val="nil"/>
              <w:bottom w:val="nil"/>
              <w:right w:val="nil"/>
            </w:tcBorders>
          </w:tcPr>
          <w:p w14:paraId="3A7F0EE7" w14:textId="21D37B53" w:rsidR="004546ED" w:rsidRPr="0050382F" w:rsidRDefault="004546ED" w:rsidP="004546ED">
            <w:pPr>
              <w:tabs>
                <w:tab w:val="left" w:pos="2"/>
                <w:tab w:val="decimal" w:pos="882"/>
              </w:tabs>
              <w:jc w:val="right"/>
              <w:rPr>
                <w:lang w:val="en-GB"/>
              </w:rPr>
            </w:pPr>
            <w:r w:rsidRPr="0050382F">
              <w:rPr>
                <w:lang w:val="en-GB"/>
              </w:rPr>
              <w:t>(</w:t>
            </w:r>
            <w:r>
              <w:rPr>
                <w:lang w:val="en-GB"/>
              </w:rPr>
              <w:t>469</w:t>
            </w:r>
            <w:r w:rsidRPr="0050382F">
              <w:rPr>
                <w:lang w:val="en-GB"/>
              </w:rPr>
              <w:t>,</w:t>
            </w:r>
            <w:r>
              <w:rPr>
                <w:lang w:val="en-GB"/>
              </w:rPr>
              <w:t>940</w:t>
            </w:r>
            <w:r w:rsidRPr="0050382F">
              <w:rPr>
                <w:lang w:val="en-GB"/>
              </w:rPr>
              <w:t>)</w:t>
            </w:r>
          </w:p>
        </w:tc>
        <w:tc>
          <w:tcPr>
            <w:tcW w:w="1440" w:type="dxa"/>
            <w:tcBorders>
              <w:top w:val="nil"/>
              <w:left w:val="nil"/>
              <w:bottom w:val="nil"/>
              <w:right w:val="nil"/>
            </w:tcBorders>
          </w:tcPr>
          <w:p w14:paraId="376B8FDB" w14:textId="163FDD24" w:rsidR="004546ED" w:rsidRPr="006D1D11" w:rsidRDefault="004546ED" w:rsidP="004546ED">
            <w:pPr>
              <w:tabs>
                <w:tab w:val="left" w:pos="2"/>
                <w:tab w:val="decimal" w:pos="882"/>
              </w:tabs>
              <w:jc w:val="right"/>
              <w:rPr>
                <w:lang w:val="en-GB"/>
              </w:rPr>
            </w:pPr>
            <w:r w:rsidRPr="0050382F">
              <w:rPr>
                <w:lang w:val="en-GB"/>
              </w:rPr>
              <w:t>(</w:t>
            </w:r>
            <w:r>
              <w:rPr>
                <w:lang w:val="en-GB"/>
              </w:rPr>
              <w:t>246</w:t>
            </w:r>
            <w:r w:rsidRPr="0050382F">
              <w:rPr>
                <w:lang w:val="en-GB"/>
              </w:rPr>
              <w:t>,</w:t>
            </w:r>
            <w:r>
              <w:rPr>
                <w:lang w:val="en-GB"/>
              </w:rPr>
              <w:t>434</w:t>
            </w:r>
            <w:r w:rsidRPr="0050382F">
              <w:rPr>
                <w:lang w:val="en-GB"/>
              </w:rPr>
              <w:t>)</w:t>
            </w:r>
          </w:p>
        </w:tc>
        <w:tc>
          <w:tcPr>
            <w:tcW w:w="1440" w:type="dxa"/>
            <w:tcBorders>
              <w:top w:val="nil"/>
              <w:left w:val="nil"/>
              <w:bottom w:val="nil"/>
              <w:right w:val="nil"/>
            </w:tcBorders>
          </w:tcPr>
          <w:p w14:paraId="347A9987" w14:textId="2391FF3D" w:rsidR="004546ED" w:rsidRPr="00A448E8" w:rsidRDefault="004546ED" w:rsidP="004546ED">
            <w:pPr>
              <w:tabs>
                <w:tab w:val="left" w:pos="2"/>
                <w:tab w:val="decimal" w:pos="882"/>
              </w:tabs>
              <w:jc w:val="right"/>
              <w:rPr>
                <w:lang w:val="en-GB"/>
              </w:rPr>
            </w:pPr>
            <w:r w:rsidRPr="0050382F">
              <w:rPr>
                <w:lang w:val="en-GB"/>
              </w:rPr>
              <w:t>(</w:t>
            </w:r>
            <w:r>
              <w:rPr>
                <w:lang w:val="en-GB"/>
              </w:rPr>
              <w:t>62</w:t>
            </w:r>
            <w:r w:rsidRPr="0050382F">
              <w:rPr>
                <w:lang w:val="en-GB"/>
              </w:rPr>
              <w:t>,</w:t>
            </w:r>
            <w:r>
              <w:rPr>
                <w:lang w:val="en-GB"/>
              </w:rPr>
              <w:t>417</w:t>
            </w:r>
            <w:r w:rsidRPr="0050382F">
              <w:rPr>
                <w:lang w:val="en-GB"/>
              </w:rPr>
              <w:t>)</w:t>
            </w:r>
          </w:p>
        </w:tc>
        <w:tc>
          <w:tcPr>
            <w:tcW w:w="1440" w:type="dxa"/>
            <w:tcBorders>
              <w:top w:val="nil"/>
              <w:left w:val="nil"/>
              <w:bottom w:val="nil"/>
              <w:right w:val="nil"/>
            </w:tcBorders>
          </w:tcPr>
          <w:p w14:paraId="5E60A922" w14:textId="2CDED778" w:rsidR="004546ED" w:rsidRPr="00A448E8" w:rsidRDefault="004546ED" w:rsidP="004546ED">
            <w:pPr>
              <w:tabs>
                <w:tab w:val="left" w:pos="2"/>
                <w:tab w:val="decimal" w:pos="882"/>
              </w:tabs>
              <w:jc w:val="right"/>
              <w:rPr>
                <w:lang w:val="en-GB"/>
              </w:rPr>
            </w:pPr>
            <w:r>
              <w:rPr>
                <w:lang w:val="en-GB"/>
              </w:rPr>
              <w:t>555,703</w:t>
            </w:r>
          </w:p>
        </w:tc>
      </w:tr>
      <w:tr w:rsidR="004546ED" w14:paraId="20AE19B7" w14:textId="77777777" w:rsidTr="00384C9C">
        <w:trPr>
          <w:jc w:val="right"/>
        </w:trPr>
        <w:tc>
          <w:tcPr>
            <w:tcW w:w="4253" w:type="dxa"/>
            <w:tcBorders>
              <w:top w:val="nil"/>
              <w:left w:val="nil"/>
              <w:bottom w:val="nil"/>
              <w:right w:val="nil"/>
            </w:tcBorders>
          </w:tcPr>
          <w:p w14:paraId="2803A66A" w14:textId="77777777" w:rsidR="004546ED" w:rsidRDefault="004546ED" w:rsidP="004546ED">
            <w:pPr>
              <w:tabs>
                <w:tab w:val="left" w:pos="342"/>
                <w:tab w:val="left" w:pos="522"/>
              </w:tabs>
              <w:jc w:val="both"/>
              <w:rPr>
                <w:lang w:val="en-GB"/>
              </w:rPr>
            </w:pPr>
            <w:r>
              <w:rPr>
                <w:lang w:val="en-GB"/>
              </w:rPr>
              <w:t xml:space="preserve">Shareholders’ equity </w:t>
            </w:r>
          </w:p>
        </w:tc>
        <w:tc>
          <w:tcPr>
            <w:tcW w:w="1473" w:type="dxa"/>
            <w:tcBorders>
              <w:top w:val="nil"/>
              <w:left w:val="nil"/>
              <w:bottom w:val="nil"/>
              <w:right w:val="nil"/>
            </w:tcBorders>
          </w:tcPr>
          <w:p w14:paraId="2F13FAFD" w14:textId="126A05D8" w:rsidR="004546ED" w:rsidRPr="0050382F" w:rsidRDefault="004546ED" w:rsidP="004546ED">
            <w:pPr>
              <w:tabs>
                <w:tab w:val="left" w:pos="2"/>
                <w:tab w:val="decimal" w:pos="882"/>
              </w:tabs>
              <w:jc w:val="right"/>
              <w:rPr>
                <w:lang w:val="en-GB"/>
              </w:rPr>
            </w:pPr>
            <w:r>
              <w:rPr>
                <w:lang w:val="en-GB"/>
              </w:rPr>
              <w:t>2</w:t>
            </w:r>
            <w:r w:rsidRPr="0050382F">
              <w:rPr>
                <w:lang w:val="en-GB"/>
              </w:rPr>
              <w:t>,</w:t>
            </w:r>
            <w:r>
              <w:rPr>
                <w:lang w:val="en-GB"/>
              </w:rPr>
              <w:t>976</w:t>
            </w:r>
            <w:r w:rsidRPr="0050382F">
              <w:rPr>
                <w:lang w:val="en-GB"/>
              </w:rPr>
              <w:t>,</w:t>
            </w:r>
            <w:r>
              <w:rPr>
                <w:lang w:val="en-GB"/>
              </w:rPr>
              <w:t>345</w:t>
            </w:r>
          </w:p>
        </w:tc>
        <w:tc>
          <w:tcPr>
            <w:tcW w:w="1440" w:type="dxa"/>
            <w:tcBorders>
              <w:top w:val="nil"/>
              <w:left w:val="nil"/>
              <w:bottom w:val="nil"/>
              <w:right w:val="nil"/>
            </w:tcBorders>
          </w:tcPr>
          <w:p w14:paraId="2C908484" w14:textId="2D9012D0" w:rsidR="004546ED" w:rsidRPr="006D1D11" w:rsidRDefault="004546ED" w:rsidP="004546ED">
            <w:pPr>
              <w:tabs>
                <w:tab w:val="left" w:pos="2"/>
                <w:tab w:val="decimal" w:pos="882"/>
              </w:tabs>
              <w:jc w:val="right"/>
              <w:rPr>
                <w:lang w:val="en-GB"/>
              </w:rPr>
            </w:pPr>
            <w:r w:rsidRPr="0050382F">
              <w:rPr>
                <w:lang w:val="en-GB"/>
              </w:rPr>
              <w:t>3,</w:t>
            </w:r>
            <w:r>
              <w:rPr>
                <w:lang w:val="en-GB"/>
              </w:rPr>
              <w:t>160</w:t>
            </w:r>
            <w:r w:rsidRPr="0050382F">
              <w:rPr>
                <w:lang w:val="en-GB"/>
              </w:rPr>
              <w:t>,</w:t>
            </w:r>
            <w:r>
              <w:rPr>
                <w:lang w:val="en-GB"/>
              </w:rPr>
              <w:t>097</w:t>
            </w:r>
          </w:p>
        </w:tc>
        <w:tc>
          <w:tcPr>
            <w:tcW w:w="1440" w:type="dxa"/>
            <w:tcBorders>
              <w:top w:val="nil"/>
              <w:left w:val="nil"/>
              <w:bottom w:val="nil"/>
              <w:right w:val="nil"/>
            </w:tcBorders>
          </w:tcPr>
          <w:p w14:paraId="3F38962B" w14:textId="13883C5F" w:rsidR="004546ED" w:rsidRPr="00A448E8" w:rsidRDefault="004546ED" w:rsidP="004546ED">
            <w:pPr>
              <w:tabs>
                <w:tab w:val="left" w:pos="2"/>
                <w:tab w:val="decimal" w:pos="882"/>
              </w:tabs>
              <w:jc w:val="right"/>
              <w:rPr>
                <w:lang w:val="en-GB"/>
              </w:rPr>
            </w:pPr>
            <w:r w:rsidRPr="0050382F">
              <w:rPr>
                <w:lang w:val="en-GB"/>
              </w:rPr>
              <w:t>3,311,495</w:t>
            </w:r>
          </w:p>
        </w:tc>
        <w:tc>
          <w:tcPr>
            <w:tcW w:w="1440" w:type="dxa"/>
            <w:tcBorders>
              <w:top w:val="nil"/>
              <w:left w:val="nil"/>
              <w:bottom w:val="nil"/>
              <w:right w:val="nil"/>
            </w:tcBorders>
          </w:tcPr>
          <w:p w14:paraId="78E5BDC5" w14:textId="20EF73A3" w:rsidR="004546ED" w:rsidRPr="00A448E8" w:rsidRDefault="004546ED" w:rsidP="004546ED">
            <w:pPr>
              <w:tabs>
                <w:tab w:val="left" w:pos="2"/>
                <w:tab w:val="decimal" w:pos="882"/>
              </w:tabs>
              <w:jc w:val="right"/>
              <w:rPr>
                <w:lang w:val="en-GB"/>
              </w:rPr>
            </w:pPr>
            <w:r>
              <w:rPr>
                <w:lang w:val="en-GB"/>
              </w:rPr>
              <w:t>4</w:t>
            </w:r>
            <w:r w:rsidRPr="00E1297D">
              <w:rPr>
                <w:lang w:val="en-GB"/>
              </w:rPr>
              <w:t>,</w:t>
            </w:r>
            <w:r>
              <w:rPr>
                <w:lang w:val="en-GB"/>
              </w:rPr>
              <w:t>523</w:t>
            </w:r>
            <w:r w:rsidRPr="00E1297D">
              <w:rPr>
                <w:lang w:val="en-GB"/>
              </w:rPr>
              <w:t>,</w:t>
            </w:r>
            <w:r>
              <w:rPr>
                <w:lang w:val="en-GB"/>
              </w:rPr>
              <w:t>753</w:t>
            </w:r>
          </w:p>
        </w:tc>
      </w:tr>
      <w:tr w:rsidR="004546ED" w14:paraId="223443E5" w14:textId="77777777" w:rsidTr="00384C9C">
        <w:trPr>
          <w:jc w:val="right"/>
        </w:trPr>
        <w:tc>
          <w:tcPr>
            <w:tcW w:w="4253" w:type="dxa"/>
            <w:tcBorders>
              <w:top w:val="nil"/>
              <w:left w:val="nil"/>
              <w:bottom w:val="nil"/>
              <w:right w:val="nil"/>
            </w:tcBorders>
          </w:tcPr>
          <w:p w14:paraId="521D51BA" w14:textId="77777777" w:rsidR="004546ED" w:rsidRDefault="004546ED" w:rsidP="004546ED">
            <w:pPr>
              <w:tabs>
                <w:tab w:val="left" w:pos="342"/>
                <w:tab w:val="left" w:pos="522"/>
              </w:tabs>
              <w:jc w:val="both"/>
              <w:rPr>
                <w:lang w:val="en-GB"/>
              </w:rPr>
            </w:pPr>
            <w:r>
              <w:rPr>
                <w:lang w:val="en-GB"/>
              </w:rPr>
              <w:t>Interest income</w:t>
            </w:r>
          </w:p>
        </w:tc>
        <w:tc>
          <w:tcPr>
            <w:tcW w:w="1473" w:type="dxa"/>
            <w:tcBorders>
              <w:top w:val="nil"/>
              <w:left w:val="nil"/>
              <w:bottom w:val="nil"/>
              <w:right w:val="nil"/>
            </w:tcBorders>
          </w:tcPr>
          <w:p w14:paraId="49D53B04" w14:textId="1E2B11F6" w:rsidR="004546ED" w:rsidRPr="009427C3" w:rsidRDefault="004546ED" w:rsidP="004546ED">
            <w:pPr>
              <w:tabs>
                <w:tab w:val="left" w:pos="2"/>
                <w:tab w:val="decimal" w:pos="1242"/>
              </w:tabs>
              <w:jc w:val="right"/>
              <w:rPr>
                <w:lang w:val="en-GB"/>
              </w:rPr>
            </w:pPr>
            <w:r>
              <w:rPr>
                <w:lang w:val="en-GB"/>
              </w:rPr>
              <w:t>8</w:t>
            </w:r>
          </w:p>
        </w:tc>
        <w:tc>
          <w:tcPr>
            <w:tcW w:w="1440" w:type="dxa"/>
            <w:tcBorders>
              <w:top w:val="nil"/>
              <w:left w:val="nil"/>
              <w:bottom w:val="nil"/>
              <w:right w:val="nil"/>
            </w:tcBorders>
          </w:tcPr>
          <w:p w14:paraId="1445D841" w14:textId="6E37A158" w:rsidR="004546ED" w:rsidRPr="006D1D11" w:rsidRDefault="004546ED" w:rsidP="004546ED">
            <w:pPr>
              <w:tabs>
                <w:tab w:val="left" w:pos="2"/>
                <w:tab w:val="decimal" w:pos="1242"/>
              </w:tabs>
              <w:jc w:val="right"/>
              <w:rPr>
                <w:lang w:val="en-GB"/>
              </w:rPr>
            </w:pPr>
            <w:r>
              <w:rPr>
                <w:lang w:val="en-GB"/>
              </w:rPr>
              <w:t>62</w:t>
            </w:r>
          </w:p>
        </w:tc>
        <w:tc>
          <w:tcPr>
            <w:tcW w:w="1440" w:type="dxa"/>
            <w:tcBorders>
              <w:top w:val="nil"/>
              <w:left w:val="nil"/>
              <w:bottom w:val="nil"/>
              <w:right w:val="nil"/>
            </w:tcBorders>
          </w:tcPr>
          <w:p w14:paraId="5685FA3F" w14:textId="11977EDB" w:rsidR="004546ED" w:rsidRPr="00A448E8" w:rsidRDefault="004546ED" w:rsidP="004546ED">
            <w:pPr>
              <w:tabs>
                <w:tab w:val="left" w:pos="2"/>
                <w:tab w:val="decimal" w:pos="1242"/>
              </w:tabs>
              <w:jc w:val="right"/>
              <w:rPr>
                <w:lang w:val="en-GB"/>
              </w:rPr>
            </w:pPr>
            <w:r w:rsidRPr="009427C3">
              <w:rPr>
                <w:lang w:val="en-GB"/>
              </w:rPr>
              <w:t>1,068</w:t>
            </w:r>
          </w:p>
        </w:tc>
        <w:tc>
          <w:tcPr>
            <w:tcW w:w="1440" w:type="dxa"/>
            <w:tcBorders>
              <w:top w:val="nil"/>
              <w:left w:val="nil"/>
              <w:bottom w:val="nil"/>
              <w:right w:val="nil"/>
            </w:tcBorders>
          </w:tcPr>
          <w:p w14:paraId="6CDE2B69" w14:textId="65FFCD6E" w:rsidR="004546ED" w:rsidRPr="00A448E8" w:rsidRDefault="004546ED" w:rsidP="004546ED">
            <w:pPr>
              <w:tabs>
                <w:tab w:val="left" w:pos="2"/>
                <w:tab w:val="decimal" w:pos="1242"/>
              </w:tabs>
              <w:jc w:val="right"/>
              <w:rPr>
                <w:lang w:val="en-GB"/>
              </w:rPr>
            </w:pPr>
            <w:r>
              <w:rPr>
                <w:lang w:val="en-GB"/>
              </w:rPr>
              <w:t>2</w:t>
            </w:r>
            <w:r w:rsidRPr="00124477">
              <w:rPr>
                <w:lang w:val="en-GB"/>
              </w:rPr>
              <w:t>,</w:t>
            </w:r>
            <w:r>
              <w:rPr>
                <w:lang w:val="en-GB"/>
              </w:rPr>
              <w:t>772</w:t>
            </w:r>
          </w:p>
        </w:tc>
      </w:tr>
      <w:tr w:rsidR="004546ED" w14:paraId="0A472A2B" w14:textId="77777777" w:rsidTr="00384C9C">
        <w:trPr>
          <w:jc w:val="right"/>
        </w:trPr>
        <w:tc>
          <w:tcPr>
            <w:tcW w:w="4253" w:type="dxa"/>
            <w:tcBorders>
              <w:top w:val="nil"/>
              <w:left w:val="nil"/>
              <w:bottom w:val="nil"/>
              <w:right w:val="nil"/>
            </w:tcBorders>
          </w:tcPr>
          <w:p w14:paraId="7D9C6D3C" w14:textId="79F2F79E" w:rsidR="004546ED" w:rsidRDefault="004546ED" w:rsidP="004546ED">
            <w:pPr>
              <w:tabs>
                <w:tab w:val="left" w:pos="342"/>
                <w:tab w:val="left" w:pos="522"/>
              </w:tabs>
              <w:jc w:val="both"/>
              <w:rPr>
                <w:lang w:val="en-GB"/>
              </w:rPr>
            </w:pPr>
            <w:r>
              <w:rPr>
                <w:lang w:val="en-GB"/>
              </w:rPr>
              <w:t>Management fee income</w:t>
            </w:r>
          </w:p>
        </w:tc>
        <w:tc>
          <w:tcPr>
            <w:tcW w:w="1473" w:type="dxa"/>
            <w:tcBorders>
              <w:top w:val="nil"/>
              <w:left w:val="nil"/>
              <w:right w:val="nil"/>
            </w:tcBorders>
          </w:tcPr>
          <w:p w14:paraId="751782C4" w14:textId="1FEEDA83" w:rsidR="004546ED" w:rsidRPr="009427C3" w:rsidRDefault="004546ED" w:rsidP="004546ED">
            <w:pPr>
              <w:tabs>
                <w:tab w:val="left" w:pos="2"/>
                <w:tab w:val="decimal" w:pos="1242"/>
              </w:tabs>
              <w:jc w:val="right"/>
              <w:rPr>
                <w:lang w:val="en-GB"/>
              </w:rPr>
            </w:pPr>
            <w:r w:rsidRPr="009427C3">
              <w:rPr>
                <w:lang w:val="en-GB"/>
              </w:rPr>
              <w:t>-</w:t>
            </w:r>
          </w:p>
        </w:tc>
        <w:tc>
          <w:tcPr>
            <w:tcW w:w="1440" w:type="dxa"/>
            <w:tcBorders>
              <w:top w:val="nil"/>
              <w:left w:val="nil"/>
              <w:right w:val="nil"/>
            </w:tcBorders>
          </w:tcPr>
          <w:p w14:paraId="22008FAB" w14:textId="37C1252C" w:rsidR="004546ED" w:rsidRPr="00FA1802" w:rsidRDefault="004546ED" w:rsidP="004546ED">
            <w:pPr>
              <w:tabs>
                <w:tab w:val="left" w:pos="2"/>
                <w:tab w:val="decimal" w:pos="1242"/>
              </w:tabs>
              <w:jc w:val="right"/>
              <w:rPr>
                <w:lang w:val="en-GB"/>
              </w:rPr>
            </w:pPr>
            <w:r w:rsidRPr="009427C3">
              <w:rPr>
                <w:lang w:val="en-GB"/>
              </w:rPr>
              <w:t>-</w:t>
            </w:r>
          </w:p>
        </w:tc>
        <w:tc>
          <w:tcPr>
            <w:tcW w:w="1440" w:type="dxa"/>
            <w:tcBorders>
              <w:top w:val="nil"/>
              <w:left w:val="nil"/>
              <w:right w:val="nil"/>
            </w:tcBorders>
          </w:tcPr>
          <w:p w14:paraId="0A944D58" w14:textId="4DFF4A11" w:rsidR="004546ED" w:rsidRPr="00591DC6" w:rsidRDefault="004546ED" w:rsidP="004546ED">
            <w:pPr>
              <w:tabs>
                <w:tab w:val="left" w:pos="2"/>
                <w:tab w:val="decimal" w:pos="1242"/>
              </w:tabs>
              <w:jc w:val="right"/>
              <w:rPr>
                <w:lang w:val="en-GB"/>
              </w:rPr>
            </w:pPr>
            <w:r w:rsidRPr="009427C3">
              <w:rPr>
                <w:lang w:val="en-GB"/>
              </w:rPr>
              <w:t>-</w:t>
            </w:r>
          </w:p>
        </w:tc>
        <w:tc>
          <w:tcPr>
            <w:tcW w:w="1440" w:type="dxa"/>
            <w:tcBorders>
              <w:top w:val="nil"/>
              <w:left w:val="nil"/>
              <w:right w:val="nil"/>
            </w:tcBorders>
          </w:tcPr>
          <w:p w14:paraId="7667E19D" w14:textId="248F2221" w:rsidR="004546ED" w:rsidRPr="00133D35" w:rsidRDefault="004546ED" w:rsidP="004546ED">
            <w:pPr>
              <w:tabs>
                <w:tab w:val="left" w:pos="2"/>
                <w:tab w:val="decimal" w:pos="1242"/>
              </w:tabs>
              <w:ind w:left="360"/>
              <w:jc w:val="right"/>
              <w:rPr>
                <w:lang w:val="en-GB"/>
              </w:rPr>
            </w:pPr>
            <w:r>
              <w:rPr>
                <w:lang w:val="en-GB"/>
              </w:rPr>
              <w:t>-</w:t>
            </w:r>
          </w:p>
        </w:tc>
      </w:tr>
      <w:tr w:rsidR="004546ED" w14:paraId="02D2D97C" w14:textId="77777777" w:rsidTr="00384C9C">
        <w:trPr>
          <w:jc w:val="right"/>
        </w:trPr>
        <w:tc>
          <w:tcPr>
            <w:tcW w:w="4253" w:type="dxa"/>
            <w:tcBorders>
              <w:top w:val="nil"/>
              <w:left w:val="nil"/>
              <w:right w:val="nil"/>
            </w:tcBorders>
          </w:tcPr>
          <w:p w14:paraId="4A1D7FA2" w14:textId="77777777" w:rsidR="004546ED" w:rsidRDefault="004546ED" w:rsidP="004546ED">
            <w:pPr>
              <w:tabs>
                <w:tab w:val="left" w:pos="342"/>
                <w:tab w:val="left" w:pos="522"/>
              </w:tabs>
              <w:jc w:val="both"/>
              <w:rPr>
                <w:lang w:val="en-GB"/>
              </w:rPr>
            </w:pPr>
            <w:r>
              <w:rPr>
                <w:lang w:val="en-GB"/>
              </w:rPr>
              <w:t>Net comprehensive loss</w:t>
            </w:r>
          </w:p>
        </w:tc>
        <w:tc>
          <w:tcPr>
            <w:tcW w:w="1473" w:type="dxa"/>
            <w:tcBorders>
              <w:top w:val="nil"/>
              <w:left w:val="nil"/>
              <w:right w:val="nil"/>
            </w:tcBorders>
          </w:tcPr>
          <w:p w14:paraId="68B642B7" w14:textId="61FA9EFE" w:rsidR="004546ED" w:rsidRPr="009427C3" w:rsidRDefault="004546ED" w:rsidP="004546ED">
            <w:pPr>
              <w:tabs>
                <w:tab w:val="left" w:pos="2"/>
                <w:tab w:val="decimal" w:pos="1242"/>
              </w:tabs>
              <w:jc w:val="right"/>
              <w:rPr>
                <w:lang w:val="en-GB"/>
              </w:rPr>
            </w:pPr>
            <w:r w:rsidRPr="009427C3">
              <w:rPr>
                <w:lang w:val="en-GB"/>
              </w:rPr>
              <w:t>(1</w:t>
            </w:r>
            <w:r>
              <w:rPr>
                <w:lang w:val="en-GB"/>
              </w:rPr>
              <w:t>83</w:t>
            </w:r>
            <w:r w:rsidRPr="009427C3">
              <w:rPr>
                <w:lang w:val="en-GB"/>
              </w:rPr>
              <w:t>,</w:t>
            </w:r>
            <w:r>
              <w:rPr>
                <w:lang w:val="en-GB"/>
              </w:rPr>
              <w:t>752</w:t>
            </w:r>
            <w:r w:rsidRPr="009427C3">
              <w:rPr>
                <w:lang w:val="en-GB"/>
              </w:rPr>
              <w:t>)</w:t>
            </w:r>
          </w:p>
        </w:tc>
        <w:tc>
          <w:tcPr>
            <w:tcW w:w="1440" w:type="dxa"/>
            <w:tcBorders>
              <w:top w:val="nil"/>
              <w:left w:val="nil"/>
              <w:right w:val="nil"/>
            </w:tcBorders>
          </w:tcPr>
          <w:p w14:paraId="332A50A8" w14:textId="50166C28" w:rsidR="004546ED" w:rsidRPr="006D1D11" w:rsidRDefault="004546ED" w:rsidP="004546ED">
            <w:pPr>
              <w:tabs>
                <w:tab w:val="left" w:pos="2"/>
                <w:tab w:val="decimal" w:pos="1242"/>
              </w:tabs>
              <w:jc w:val="right"/>
              <w:rPr>
                <w:lang w:val="en-GB"/>
              </w:rPr>
            </w:pPr>
            <w:r w:rsidRPr="009427C3">
              <w:rPr>
                <w:lang w:val="en-GB"/>
              </w:rPr>
              <w:t>(1</w:t>
            </w:r>
            <w:r>
              <w:rPr>
                <w:lang w:val="en-GB"/>
              </w:rPr>
              <w:t>51</w:t>
            </w:r>
            <w:r w:rsidRPr="009427C3">
              <w:rPr>
                <w:lang w:val="en-GB"/>
              </w:rPr>
              <w:t>,</w:t>
            </w:r>
            <w:r>
              <w:rPr>
                <w:lang w:val="en-GB"/>
              </w:rPr>
              <w:t>644</w:t>
            </w:r>
            <w:r w:rsidRPr="009427C3">
              <w:rPr>
                <w:lang w:val="en-GB"/>
              </w:rPr>
              <w:t>)</w:t>
            </w:r>
          </w:p>
        </w:tc>
        <w:tc>
          <w:tcPr>
            <w:tcW w:w="1440" w:type="dxa"/>
            <w:tcBorders>
              <w:top w:val="nil"/>
              <w:left w:val="nil"/>
              <w:right w:val="nil"/>
            </w:tcBorders>
          </w:tcPr>
          <w:p w14:paraId="7964FF44" w14:textId="41F83F90" w:rsidR="004546ED" w:rsidRPr="00A448E8" w:rsidRDefault="004546ED" w:rsidP="004546ED">
            <w:pPr>
              <w:tabs>
                <w:tab w:val="left" w:pos="2"/>
                <w:tab w:val="decimal" w:pos="1242"/>
              </w:tabs>
              <w:jc w:val="right"/>
              <w:rPr>
                <w:lang w:val="en-GB"/>
              </w:rPr>
            </w:pPr>
            <w:r w:rsidRPr="009427C3">
              <w:rPr>
                <w:lang w:val="en-GB"/>
              </w:rPr>
              <w:t>(1,2</w:t>
            </w:r>
            <w:r>
              <w:rPr>
                <w:lang w:val="en-GB"/>
              </w:rPr>
              <w:t>23</w:t>
            </w:r>
            <w:r w:rsidRPr="009427C3">
              <w:rPr>
                <w:lang w:val="en-GB"/>
              </w:rPr>
              <w:t>,</w:t>
            </w:r>
            <w:r>
              <w:rPr>
                <w:lang w:val="en-GB"/>
              </w:rPr>
              <w:t>918</w:t>
            </w:r>
            <w:r w:rsidRPr="009427C3">
              <w:rPr>
                <w:lang w:val="en-GB"/>
              </w:rPr>
              <w:t>)</w:t>
            </w:r>
          </w:p>
        </w:tc>
        <w:tc>
          <w:tcPr>
            <w:tcW w:w="1440" w:type="dxa"/>
            <w:tcBorders>
              <w:top w:val="nil"/>
              <w:left w:val="nil"/>
              <w:right w:val="nil"/>
            </w:tcBorders>
          </w:tcPr>
          <w:p w14:paraId="32A1C36C" w14:textId="2391F6A8" w:rsidR="004546ED" w:rsidRPr="00A448E8" w:rsidRDefault="004546ED" w:rsidP="004546ED">
            <w:pPr>
              <w:tabs>
                <w:tab w:val="left" w:pos="2"/>
                <w:tab w:val="decimal" w:pos="1242"/>
              </w:tabs>
              <w:jc w:val="right"/>
              <w:rPr>
                <w:lang w:val="en-GB"/>
              </w:rPr>
            </w:pPr>
            <w:r w:rsidRPr="00124477">
              <w:rPr>
                <w:lang w:val="en-GB"/>
              </w:rPr>
              <w:t>(</w:t>
            </w:r>
            <w:r>
              <w:rPr>
                <w:lang w:val="en-GB"/>
              </w:rPr>
              <w:t>1,148</w:t>
            </w:r>
            <w:r w:rsidRPr="00124477">
              <w:rPr>
                <w:lang w:val="en-GB"/>
              </w:rPr>
              <w:t>,</w:t>
            </w:r>
            <w:r>
              <w:rPr>
                <w:lang w:val="en-GB"/>
              </w:rPr>
              <w:t>060</w:t>
            </w:r>
            <w:r w:rsidRPr="00124477">
              <w:rPr>
                <w:lang w:val="en-GB"/>
              </w:rPr>
              <w:t>)</w:t>
            </w:r>
          </w:p>
        </w:tc>
      </w:tr>
      <w:tr w:rsidR="004546ED" w14:paraId="7BBB7AC1" w14:textId="77777777" w:rsidTr="00384C9C">
        <w:trPr>
          <w:jc w:val="right"/>
        </w:trPr>
        <w:tc>
          <w:tcPr>
            <w:tcW w:w="4253" w:type="dxa"/>
            <w:tcBorders>
              <w:top w:val="nil"/>
              <w:left w:val="nil"/>
              <w:bottom w:val="double" w:sz="4" w:space="0" w:color="auto"/>
              <w:right w:val="nil"/>
            </w:tcBorders>
          </w:tcPr>
          <w:p w14:paraId="6DEE15F4" w14:textId="77777777" w:rsidR="004546ED" w:rsidRPr="002E63C9" w:rsidRDefault="004546ED" w:rsidP="004546ED">
            <w:pPr>
              <w:tabs>
                <w:tab w:val="left" w:pos="342"/>
                <w:tab w:val="left" w:pos="522"/>
              </w:tabs>
              <w:jc w:val="both"/>
              <w:rPr>
                <w:lang w:val="en-GB"/>
              </w:rPr>
            </w:pPr>
            <w:r w:rsidRPr="002E63C9">
              <w:rPr>
                <w:lang w:val="en-GB"/>
              </w:rPr>
              <w:t xml:space="preserve">Loss per share </w:t>
            </w:r>
          </w:p>
        </w:tc>
        <w:tc>
          <w:tcPr>
            <w:tcW w:w="1473" w:type="dxa"/>
            <w:tcBorders>
              <w:top w:val="nil"/>
              <w:left w:val="nil"/>
              <w:bottom w:val="double" w:sz="4" w:space="0" w:color="auto"/>
              <w:right w:val="nil"/>
            </w:tcBorders>
          </w:tcPr>
          <w:p w14:paraId="61CD1C6A" w14:textId="64A0B8B6" w:rsidR="004546ED" w:rsidRPr="009427C3" w:rsidRDefault="004546ED" w:rsidP="004546ED">
            <w:pPr>
              <w:tabs>
                <w:tab w:val="left" w:pos="2"/>
                <w:tab w:val="decimal" w:pos="1134"/>
              </w:tabs>
              <w:jc w:val="right"/>
              <w:rPr>
                <w:lang w:val="en-GB"/>
              </w:rPr>
            </w:pPr>
            <w:r w:rsidRPr="009427C3">
              <w:rPr>
                <w:lang w:val="en-GB"/>
              </w:rPr>
              <w:t>(0.0</w:t>
            </w:r>
            <w:r>
              <w:rPr>
                <w:lang w:val="en-GB"/>
              </w:rPr>
              <w:t>4</w:t>
            </w:r>
            <w:r w:rsidRPr="009427C3">
              <w:rPr>
                <w:lang w:val="en-GB"/>
              </w:rPr>
              <w:t>)</w:t>
            </w:r>
          </w:p>
        </w:tc>
        <w:tc>
          <w:tcPr>
            <w:tcW w:w="1440" w:type="dxa"/>
            <w:tcBorders>
              <w:top w:val="nil"/>
              <w:left w:val="nil"/>
              <w:bottom w:val="double" w:sz="4" w:space="0" w:color="auto"/>
              <w:right w:val="nil"/>
            </w:tcBorders>
          </w:tcPr>
          <w:p w14:paraId="14C7F922" w14:textId="53BC377B" w:rsidR="004546ED" w:rsidRPr="007E3A30" w:rsidRDefault="004546ED" w:rsidP="004546ED">
            <w:pPr>
              <w:tabs>
                <w:tab w:val="left" w:pos="2"/>
                <w:tab w:val="decimal" w:pos="1134"/>
              </w:tabs>
              <w:jc w:val="right"/>
              <w:rPr>
                <w:lang w:val="en-GB"/>
              </w:rPr>
            </w:pPr>
            <w:r w:rsidRPr="009427C3">
              <w:rPr>
                <w:lang w:val="en-GB"/>
              </w:rPr>
              <w:t>(0.01)</w:t>
            </w:r>
          </w:p>
        </w:tc>
        <w:tc>
          <w:tcPr>
            <w:tcW w:w="1440" w:type="dxa"/>
            <w:tcBorders>
              <w:top w:val="nil"/>
              <w:left w:val="nil"/>
              <w:bottom w:val="double" w:sz="4" w:space="0" w:color="auto"/>
              <w:right w:val="nil"/>
            </w:tcBorders>
          </w:tcPr>
          <w:p w14:paraId="56AD5309" w14:textId="57CC6F20" w:rsidR="004546ED" w:rsidRPr="00A448E8" w:rsidRDefault="004546ED" w:rsidP="004546ED">
            <w:pPr>
              <w:tabs>
                <w:tab w:val="left" w:pos="2"/>
                <w:tab w:val="decimal" w:pos="1134"/>
              </w:tabs>
              <w:jc w:val="right"/>
              <w:rPr>
                <w:lang w:val="en-GB"/>
              </w:rPr>
            </w:pPr>
            <w:r w:rsidRPr="009427C3">
              <w:rPr>
                <w:lang w:val="en-GB"/>
              </w:rPr>
              <w:t>(0.01)</w:t>
            </w:r>
          </w:p>
        </w:tc>
        <w:tc>
          <w:tcPr>
            <w:tcW w:w="1440" w:type="dxa"/>
            <w:tcBorders>
              <w:top w:val="nil"/>
              <w:left w:val="nil"/>
              <w:bottom w:val="double" w:sz="4" w:space="0" w:color="auto"/>
              <w:right w:val="nil"/>
            </w:tcBorders>
          </w:tcPr>
          <w:p w14:paraId="52575743" w14:textId="3E78B386" w:rsidR="004546ED" w:rsidRPr="00A448E8" w:rsidRDefault="004546ED" w:rsidP="004546ED">
            <w:pPr>
              <w:tabs>
                <w:tab w:val="left" w:pos="2"/>
                <w:tab w:val="decimal" w:pos="1134"/>
              </w:tabs>
              <w:jc w:val="right"/>
              <w:rPr>
                <w:lang w:val="en-GB"/>
              </w:rPr>
            </w:pPr>
            <w:r w:rsidRPr="00124477">
              <w:rPr>
                <w:lang w:val="en-GB"/>
              </w:rPr>
              <w:t>(0.01)</w:t>
            </w:r>
          </w:p>
        </w:tc>
      </w:tr>
    </w:tbl>
    <w:p w14:paraId="75EF9923" w14:textId="77777777" w:rsidR="00B26371" w:rsidRDefault="00B26371" w:rsidP="00C56535">
      <w:pPr>
        <w:jc w:val="both"/>
        <w:rPr>
          <w:lang w:val="en-GB"/>
        </w:rPr>
      </w:pPr>
    </w:p>
    <w:tbl>
      <w:tblPr>
        <w:tblW w:w="10046" w:type="dxa"/>
        <w:jc w:val="right"/>
        <w:tblLayout w:type="fixed"/>
        <w:tblLook w:val="0000" w:firstRow="0" w:lastRow="0" w:firstColumn="0" w:lastColumn="0" w:noHBand="0" w:noVBand="0"/>
      </w:tblPr>
      <w:tblGrid>
        <w:gridCol w:w="4253"/>
        <w:gridCol w:w="1473"/>
        <w:gridCol w:w="1440"/>
        <w:gridCol w:w="1440"/>
        <w:gridCol w:w="1440"/>
      </w:tblGrid>
      <w:tr w:rsidR="004546ED" w14:paraId="113A1E1E" w14:textId="77777777" w:rsidTr="00F77049">
        <w:trPr>
          <w:jc w:val="right"/>
        </w:trPr>
        <w:tc>
          <w:tcPr>
            <w:tcW w:w="4253" w:type="dxa"/>
            <w:tcBorders>
              <w:top w:val="double" w:sz="6" w:space="0" w:color="auto"/>
              <w:left w:val="nil"/>
              <w:bottom w:val="single" w:sz="4" w:space="0" w:color="auto"/>
              <w:right w:val="nil"/>
            </w:tcBorders>
          </w:tcPr>
          <w:p w14:paraId="4807F684" w14:textId="77777777" w:rsidR="004546ED" w:rsidRDefault="004546ED" w:rsidP="004546ED">
            <w:pPr>
              <w:tabs>
                <w:tab w:val="left" w:pos="342"/>
                <w:tab w:val="left" w:pos="522"/>
              </w:tabs>
              <w:ind w:left="-828"/>
              <w:jc w:val="both"/>
              <w:rPr>
                <w:lang w:val="en-GB"/>
              </w:rPr>
            </w:pPr>
          </w:p>
        </w:tc>
        <w:tc>
          <w:tcPr>
            <w:tcW w:w="1473" w:type="dxa"/>
            <w:tcBorders>
              <w:top w:val="double" w:sz="6" w:space="0" w:color="auto"/>
              <w:left w:val="nil"/>
              <w:bottom w:val="single" w:sz="4" w:space="0" w:color="auto"/>
              <w:right w:val="nil"/>
            </w:tcBorders>
          </w:tcPr>
          <w:p w14:paraId="2E8F46DD" w14:textId="341EB3C9" w:rsidR="004546ED" w:rsidRDefault="004546ED" w:rsidP="004546ED">
            <w:pPr>
              <w:tabs>
                <w:tab w:val="left" w:pos="2"/>
                <w:tab w:val="decimal" w:pos="936"/>
              </w:tabs>
              <w:ind w:right="-11"/>
              <w:jc w:val="right"/>
              <w:rPr>
                <w:lang w:val="en-GB"/>
              </w:rPr>
            </w:pPr>
            <w:r w:rsidRPr="00FF68C9">
              <w:rPr>
                <w:lang w:val="en-GB"/>
              </w:rPr>
              <w:t xml:space="preserve">Three month period ended </w:t>
            </w:r>
            <w:r>
              <w:rPr>
                <w:lang w:val="en-GB"/>
              </w:rPr>
              <w:t>February 28</w:t>
            </w:r>
            <w:r w:rsidRPr="00FF68C9">
              <w:rPr>
                <w:lang w:val="en-GB"/>
              </w:rPr>
              <w:t>,</w:t>
            </w:r>
          </w:p>
          <w:p w14:paraId="48876C5F" w14:textId="7A0A1890" w:rsidR="004546ED" w:rsidRPr="00685619" w:rsidRDefault="004546ED" w:rsidP="004546ED">
            <w:pPr>
              <w:tabs>
                <w:tab w:val="left" w:pos="2"/>
                <w:tab w:val="decimal" w:pos="936"/>
              </w:tabs>
              <w:ind w:right="-11"/>
              <w:jc w:val="right"/>
              <w:rPr>
                <w:lang w:val="en-GB"/>
              </w:rPr>
            </w:pPr>
            <w:r w:rsidRPr="00FF68C9">
              <w:rPr>
                <w:lang w:val="en-GB"/>
              </w:rPr>
              <w:t xml:space="preserve">  202</w:t>
            </w:r>
            <w:r>
              <w:rPr>
                <w:lang w:val="en-GB"/>
              </w:rPr>
              <w:t>3</w:t>
            </w:r>
            <w:r w:rsidRPr="00FF68C9">
              <w:rPr>
                <w:lang w:val="en-GB"/>
              </w:rPr>
              <w:t xml:space="preserve">  </w:t>
            </w:r>
          </w:p>
        </w:tc>
        <w:tc>
          <w:tcPr>
            <w:tcW w:w="1440" w:type="dxa"/>
            <w:tcBorders>
              <w:top w:val="double" w:sz="6" w:space="0" w:color="auto"/>
              <w:left w:val="nil"/>
              <w:bottom w:val="single" w:sz="4" w:space="0" w:color="auto"/>
              <w:right w:val="nil"/>
            </w:tcBorders>
          </w:tcPr>
          <w:p w14:paraId="0A7C4988" w14:textId="77777777" w:rsidR="004546ED" w:rsidRDefault="004546ED" w:rsidP="004546ED">
            <w:pPr>
              <w:tabs>
                <w:tab w:val="left" w:pos="2"/>
                <w:tab w:val="decimal" w:pos="936"/>
              </w:tabs>
              <w:ind w:right="-11"/>
              <w:jc w:val="right"/>
              <w:rPr>
                <w:lang w:val="en-GB"/>
              </w:rPr>
            </w:pPr>
            <w:r w:rsidRPr="00FF68C9">
              <w:rPr>
                <w:lang w:val="en-GB"/>
              </w:rPr>
              <w:t xml:space="preserve">Three month period ended </w:t>
            </w:r>
            <w:r>
              <w:rPr>
                <w:lang w:val="en-GB"/>
              </w:rPr>
              <w:t>November 30</w:t>
            </w:r>
            <w:r w:rsidRPr="00FF68C9">
              <w:rPr>
                <w:lang w:val="en-GB"/>
              </w:rPr>
              <w:t>,</w:t>
            </w:r>
          </w:p>
          <w:p w14:paraId="7C3941DC" w14:textId="5D1D9A41" w:rsidR="004546ED" w:rsidRPr="00685619" w:rsidRDefault="004546ED" w:rsidP="004546ED">
            <w:pPr>
              <w:tabs>
                <w:tab w:val="left" w:pos="2"/>
                <w:tab w:val="decimal" w:pos="936"/>
              </w:tabs>
              <w:ind w:right="-11"/>
              <w:jc w:val="right"/>
              <w:rPr>
                <w:lang w:val="en-GB"/>
              </w:rPr>
            </w:pPr>
            <w:r w:rsidRPr="00FF68C9">
              <w:rPr>
                <w:lang w:val="en-GB"/>
              </w:rPr>
              <w:t xml:space="preserve">  2022  </w:t>
            </w:r>
          </w:p>
        </w:tc>
        <w:tc>
          <w:tcPr>
            <w:tcW w:w="1440" w:type="dxa"/>
            <w:tcBorders>
              <w:top w:val="double" w:sz="6" w:space="0" w:color="auto"/>
              <w:left w:val="nil"/>
              <w:bottom w:val="single" w:sz="4" w:space="0" w:color="auto"/>
              <w:right w:val="nil"/>
            </w:tcBorders>
          </w:tcPr>
          <w:p w14:paraId="2DAC4AC6" w14:textId="77777777" w:rsidR="004546ED" w:rsidRDefault="004546ED" w:rsidP="004546ED">
            <w:pPr>
              <w:tabs>
                <w:tab w:val="left" w:pos="2"/>
                <w:tab w:val="decimal" w:pos="936"/>
              </w:tabs>
              <w:ind w:right="-11"/>
              <w:jc w:val="right"/>
              <w:rPr>
                <w:lang w:val="en-GB"/>
              </w:rPr>
            </w:pPr>
            <w:r w:rsidRPr="00FF68C9">
              <w:rPr>
                <w:lang w:val="en-GB"/>
              </w:rPr>
              <w:t xml:space="preserve">Three month period ended </w:t>
            </w:r>
            <w:r>
              <w:rPr>
                <w:lang w:val="en-GB"/>
              </w:rPr>
              <w:t>August 31</w:t>
            </w:r>
            <w:r w:rsidRPr="00FF68C9">
              <w:rPr>
                <w:lang w:val="en-GB"/>
              </w:rPr>
              <w:t>,</w:t>
            </w:r>
          </w:p>
          <w:p w14:paraId="1C3AAAB7" w14:textId="45BD5E07" w:rsidR="004546ED" w:rsidRPr="00685619" w:rsidRDefault="004546ED" w:rsidP="004546ED">
            <w:pPr>
              <w:tabs>
                <w:tab w:val="left" w:pos="2"/>
                <w:tab w:val="decimal" w:pos="936"/>
              </w:tabs>
              <w:ind w:right="-11"/>
              <w:jc w:val="right"/>
              <w:rPr>
                <w:lang w:val="en-GB"/>
              </w:rPr>
            </w:pPr>
            <w:r w:rsidRPr="00FF68C9">
              <w:rPr>
                <w:lang w:val="en-GB"/>
              </w:rPr>
              <w:t xml:space="preserve">  2022  </w:t>
            </w:r>
          </w:p>
        </w:tc>
        <w:tc>
          <w:tcPr>
            <w:tcW w:w="1440" w:type="dxa"/>
            <w:tcBorders>
              <w:top w:val="double" w:sz="6" w:space="0" w:color="auto"/>
              <w:left w:val="nil"/>
              <w:bottom w:val="single" w:sz="4" w:space="0" w:color="auto"/>
              <w:right w:val="nil"/>
            </w:tcBorders>
          </w:tcPr>
          <w:p w14:paraId="3260B1C4" w14:textId="77777777" w:rsidR="004546ED" w:rsidRDefault="004546ED" w:rsidP="004546ED">
            <w:pPr>
              <w:tabs>
                <w:tab w:val="left" w:pos="2"/>
                <w:tab w:val="decimal" w:pos="936"/>
              </w:tabs>
              <w:ind w:right="-11"/>
              <w:jc w:val="right"/>
              <w:rPr>
                <w:lang w:val="en-GB"/>
              </w:rPr>
            </w:pPr>
            <w:r w:rsidRPr="00FF68C9">
              <w:rPr>
                <w:lang w:val="en-GB"/>
              </w:rPr>
              <w:t xml:space="preserve">Three month period ended </w:t>
            </w:r>
            <w:r>
              <w:rPr>
                <w:lang w:val="en-GB"/>
              </w:rPr>
              <w:t>May 31</w:t>
            </w:r>
            <w:r w:rsidRPr="00FF68C9">
              <w:rPr>
                <w:lang w:val="en-GB"/>
              </w:rPr>
              <w:t>,</w:t>
            </w:r>
          </w:p>
          <w:p w14:paraId="41C72DF0" w14:textId="42907017" w:rsidR="004546ED" w:rsidRPr="00BE6416" w:rsidRDefault="004546ED" w:rsidP="004546ED">
            <w:pPr>
              <w:tabs>
                <w:tab w:val="left" w:pos="2"/>
                <w:tab w:val="decimal" w:pos="936"/>
              </w:tabs>
              <w:ind w:right="-11"/>
              <w:jc w:val="right"/>
              <w:rPr>
                <w:lang w:val="en-GB"/>
              </w:rPr>
            </w:pPr>
            <w:r w:rsidRPr="00FF68C9">
              <w:rPr>
                <w:lang w:val="en-GB"/>
              </w:rPr>
              <w:t xml:space="preserve">  2022  </w:t>
            </w:r>
          </w:p>
        </w:tc>
      </w:tr>
      <w:tr w:rsidR="004546ED" w14:paraId="1F1DD2F3" w14:textId="77777777" w:rsidTr="00F77049">
        <w:trPr>
          <w:jc w:val="right"/>
        </w:trPr>
        <w:tc>
          <w:tcPr>
            <w:tcW w:w="4253" w:type="dxa"/>
            <w:tcBorders>
              <w:top w:val="single" w:sz="4" w:space="0" w:color="auto"/>
              <w:left w:val="nil"/>
              <w:bottom w:val="nil"/>
              <w:right w:val="nil"/>
            </w:tcBorders>
          </w:tcPr>
          <w:p w14:paraId="47B310F2" w14:textId="77777777" w:rsidR="004546ED" w:rsidRDefault="004546ED" w:rsidP="004546ED">
            <w:pPr>
              <w:tabs>
                <w:tab w:val="left" w:pos="342"/>
                <w:tab w:val="left" w:pos="522"/>
              </w:tabs>
              <w:jc w:val="both"/>
              <w:rPr>
                <w:lang w:val="en-GB"/>
              </w:rPr>
            </w:pPr>
            <w:r>
              <w:rPr>
                <w:lang w:val="en-GB"/>
              </w:rPr>
              <w:t>Total assets</w:t>
            </w:r>
          </w:p>
        </w:tc>
        <w:tc>
          <w:tcPr>
            <w:tcW w:w="1473" w:type="dxa"/>
            <w:tcBorders>
              <w:top w:val="single" w:sz="4" w:space="0" w:color="auto"/>
              <w:left w:val="nil"/>
              <w:bottom w:val="nil"/>
              <w:right w:val="nil"/>
            </w:tcBorders>
          </w:tcPr>
          <w:p w14:paraId="3B9DE6C9" w14:textId="6167B4AE" w:rsidR="004546ED" w:rsidRPr="00A448E8" w:rsidRDefault="004546ED" w:rsidP="004546ED">
            <w:pPr>
              <w:tabs>
                <w:tab w:val="left" w:pos="2"/>
                <w:tab w:val="decimal" w:pos="1242"/>
              </w:tabs>
              <w:jc w:val="right"/>
              <w:rPr>
                <w:lang w:val="en-GB"/>
              </w:rPr>
            </w:pPr>
            <w:r w:rsidRPr="00E1297D">
              <w:rPr>
                <w:lang w:val="en-GB"/>
              </w:rPr>
              <w:t xml:space="preserve">$ </w:t>
            </w:r>
            <w:r>
              <w:rPr>
                <w:lang w:val="en-GB"/>
              </w:rPr>
              <w:t>5</w:t>
            </w:r>
            <w:r w:rsidRPr="00E1297D">
              <w:rPr>
                <w:lang w:val="en-GB"/>
              </w:rPr>
              <w:t>,</w:t>
            </w:r>
            <w:r>
              <w:rPr>
                <w:lang w:val="en-GB"/>
              </w:rPr>
              <w:t>141</w:t>
            </w:r>
            <w:r w:rsidRPr="00E1297D">
              <w:rPr>
                <w:lang w:val="en-GB"/>
              </w:rPr>
              <w:t>,</w:t>
            </w:r>
            <w:r>
              <w:rPr>
                <w:lang w:val="en-GB"/>
              </w:rPr>
              <w:t>895</w:t>
            </w:r>
            <w:r w:rsidRPr="00E1297D">
              <w:rPr>
                <w:lang w:val="en-GB"/>
              </w:rPr>
              <w:t xml:space="preserve">          </w:t>
            </w:r>
          </w:p>
        </w:tc>
        <w:tc>
          <w:tcPr>
            <w:tcW w:w="1440" w:type="dxa"/>
            <w:tcBorders>
              <w:top w:val="single" w:sz="4" w:space="0" w:color="auto"/>
              <w:left w:val="nil"/>
              <w:bottom w:val="nil"/>
              <w:right w:val="nil"/>
            </w:tcBorders>
          </w:tcPr>
          <w:p w14:paraId="33AB82D0" w14:textId="14663ABF" w:rsidR="004546ED" w:rsidRPr="00A448E8" w:rsidRDefault="004546ED" w:rsidP="004546ED">
            <w:pPr>
              <w:tabs>
                <w:tab w:val="left" w:pos="2"/>
                <w:tab w:val="decimal" w:pos="1242"/>
              </w:tabs>
              <w:jc w:val="right"/>
              <w:rPr>
                <w:lang w:val="en-GB"/>
              </w:rPr>
            </w:pPr>
            <w:r w:rsidRPr="00E1297D">
              <w:rPr>
                <w:lang w:val="en-GB"/>
              </w:rPr>
              <w:t xml:space="preserve">$  </w:t>
            </w:r>
            <w:r>
              <w:rPr>
                <w:lang w:val="en-GB"/>
              </w:rPr>
              <w:t>5</w:t>
            </w:r>
            <w:r w:rsidRPr="00E1297D">
              <w:rPr>
                <w:lang w:val="en-GB"/>
              </w:rPr>
              <w:t>,</w:t>
            </w:r>
            <w:r>
              <w:rPr>
                <w:lang w:val="en-GB"/>
              </w:rPr>
              <w:t>382</w:t>
            </w:r>
            <w:r w:rsidRPr="00E1297D">
              <w:rPr>
                <w:lang w:val="en-GB"/>
              </w:rPr>
              <w:t>,</w:t>
            </w:r>
            <w:r>
              <w:rPr>
                <w:lang w:val="en-GB"/>
              </w:rPr>
              <w:t>758</w:t>
            </w:r>
            <w:r w:rsidRPr="00E1297D">
              <w:rPr>
                <w:lang w:val="en-GB"/>
              </w:rPr>
              <w:t xml:space="preserve">          </w:t>
            </w:r>
          </w:p>
        </w:tc>
        <w:tc>
          <w:tcPr>
            <w:tcW w:w="1440" w:type="dxa"/>
            <w:tcBorders>
              <w:top w:val="single" w:sz="4" w:space="0" w:color="auto"/>
              <w:left w:val="nil"/>
              <w:bottom w:val="nil"/>
              <w:right w:val="nil"/>
            </w:tcBorders>
          </w:tcPr>
          <w:p w14:paraId="55C63E94" w14:textId="5FBCD515" w:rsidR="004546ED" w:rsidRPr="003A0F29" w:rsidRDefault="004546ED" w:rsidP="004546ED">
            <w:pPr>
              <w:tabs>
                <w:tab w:val="left" w:pos="2"/>
                <w:tab w:val="decimal" w:pos="1242"/>
              </w:tabs>
              <w:jc w:val="right"/>
              <w:rPr>
                <w:lang w:val="en-GB"/>
              </w:rPr>
            </w:pPr>
            <w:r w:rsidRPr="00E1297D">
              <w:rPr>
                <w:lang w:val="en-GB"/>
              </w:rPr>
              <w:t xml:space="preserve">$   </w:t>
            </w:r>
            <w:r>
              <w:rPr>
                <w:lang w:val="en-GB"/>
              </w:rPr>
              <w:t>5</w:t>
            </w:r>
            <w:r w:rsidRPr="00E1297D">
              <w:rPr>
                <w:lang w:val="en-GB"/>
              </w:rPr>
              <w:t>,</w:t>
            </w:r>
            <w:r>
              <w:rPr>
                <w:lang w:val="en-GB"/>
              </w:rPr>
              <w:t>489</w:t>
            </w:r>
            <w:r w:rsidRPr="00E1297D">
              <w:rPr>
                <w:lang w:val="en-GB"/>
              </w:rPr>
              <w:t>,</w:t>
            </w:r>
            <w:r>
              <w:rPr>
                <w:lang w:val="en-GB"/>
              </w:rPr>
              <w:t>591</w:t>
            </w:r>
            <w:r w:rsidRPr="00E1297D">
              <w:rPr>
                <w:lang w:val="en-GB"/>
              </w:rPr>
              <w:t xml:space="preserve">          </w:t>
            </w:r>
          </w:p>
        </w:tc>
        <w:tc>
          <w:tcPr>
            <w:tcW w:w="1440" w:type="dxa"/>
            <w:tcBorders>
              <w:top w:val="single" w:sz="4" w:space="0" w:color="auto"/>
              <w:left w:val="nil"/>
              <w:bottom w:val="nil"/>
              <w:right w:val="nil"/>
            </w:tcBorders>
          </w:tcPr>
          <w:p w14:paraId="315B8583" w14:textId="52F2E33C" w:rsidR="004546ED" w:rsidRPr="00932E4D" w:rsidRDefault="004546ED" w:rsidP="004546ED">
            <w:pPr>
              <w:tabs>
                <w:tab w:val="left" w:pos="2"/>
                <w:tab w:val="decimal" w:pos="1242"/>
              </w:tabs>
              <w:jc w:val="right"/>
              <w:rPr>
                <w:lang w:val="en-GB"/>
              </w:rPr>
            </w:pPr>
            <w:r w:rsidRPr="00FA1802">
              <w:rPr>
                <w:lang w:val="en-GB"/>
              </w:rPr>
              <w:t>$   6,</w:t>
            </w:r>
            <w:r>
              <w:rPr>
                <w:lang w:val="en-GB"/>
              </w:rPr>
              <w:t>023</w:t>
            </w:r>
            <w:r w:rsidRPr="00FA1802">
              <w:rPr>
                <w:lang w:val="en-GB"/>
              </w:rPr>
              <w:t>,</w:t>
            </w:r>
            <w:r>
              <w:rPr>
                <w:lang w:val="en-GB"/>
              </w:rPr>
              <w:t>567</w:t>
            </w:r>
            <w:r w:rsidRPr="00FA1802">
              <w:rPr>
                <w:lang w:val="en-GB"/>
              </w:rPr>
              <w:t xml:space="preserve">          </w:t>
            </w:r>
          </w:p>
        </w:tc>
      </w:tr>
      <w:tr w:rsidR="004546ED" w14:paraId="1D0E6C2B" w14:textId="77777777" w:rsidTr="00F77049">
        <w:trPr>
          <w:jc w:val="right"/>
        </w:trPr>
        <w:tc>
          <w:tcPr>
            <w:tcW w:w="4253" w:type="dxa"/>
            <w:tcBorders>
              <w:top w:val="nil"/>
              <w:left w:val="nil"/>
              <w:bottom w:val="nil"/>
              <w:right w:val="nil"/>
            </w:tcBorders>
          </w:tcPr>
          <w:p w14:paraId="56327E61" w14:textId="77777777" w:rsidR="004546ED" w:rsidRDefault="004546ED" w:rsidP="004546ED">
            <w:pPr>
              <w:tabs>
                <w:tab w:val="left" w:pos="342"/>
                <w:tab w:val="left" w:pos="522"/>
              </w:tabs>
              <w:jc w:val="both"/>
              <w:rPr>
                <w:lang w:val="en-GB"/>
              </w:rPr>
            </w:pPr>
            <w:r>
              <w:rPr>
                <w:lang w:val="en-GB"/>
              </w:rPr>
              <w:t xml:space="preserve">Working capital </w:t>
            </w:r>
          </w:p>
        </w:tc>
        <w:tc>
          <w:tcPr>
            <w:tcW w:w="1473" w:type="dxa"/>
            <w:tcBorders>
              <w:top w:val="nil"/>
              <w:left w:val="nil"/>
              <w:bottom w:val="nil"/>
              <w:right w:val="nil"/>
            </w:tcBorders>
          </w:tcPr>
          <w:p w14:paraId="6A2741BA" w14:textId="177FFC93" w:rsidR="004546ED" w:rsidRPr="00A448E8" w:rsidRDefault="004546ED" w:rsidP="004546ED">
            <w:pPr>
              <w:tabs>
                <w:tab w:val="left" w:pos="2"/>
                <w:tab w:val="decimal" w:pos="882"/>
              </w:tabs>
              <w:jc w:val="right"/>
              <w:rPr>
                <w:lang w:val="en-GB"/>
              </w:rPr>
            </w:pPr>
            <w:r>
              <w:rPr>
                <w:lang w:val="en-GB"/>
              </w:rPr>
              <w:t>567,946</w:t>
            </w:r>
          </w:p>
        </w:tc>
        <w:tc>
          <w:tcPr>
            <w:tcW w:w="1440" w:type="dxa"/>
            <w:tcBorders>
              <w:top w:val="nil"/>
              <w:left w:val="nil"/>
              <w:bottom w:val="nil"/>
              <w:right w:val="nil"/>
            </w:tcBorders>
          </w:tcPr>
          <w:p w14:paraId="7F116B63" w14:textId="7FB9AFD7" w:rsidR="004546ED" w:rsidRPr="00A448E8" w:rsidRDefault="004546ED" w:rsidP="004546ED">
            <w:pPr>
              <w:tabs>
                <w:tab w:val="left" w:pos="2"/>
                <w:tab w:val="decimal" w:pos="882"/>
              </w:tabs>
              <w:jc w:val="right"/>
              <w:rPr>
                <w:lang w:val="en-GB"/>
              </w:rPr>
            </w:pPr>
            <w:r>
              <w:rPr>
                <w:lang w:val="en-GB"/>
              </w:rPr>
              <w:t>969,013</w:t>
            </w:r>
          </w:p>
        </w:tc>
        <w:tc>
          <w:tcPr>
            <w:tcW w:w="1440" w:type="dxa"/>
            <w:tcBorders>
              <w:top w:val="nil"/>
              <w:left w:val="nil"/>
              <w:bottom w:val="nil"/>
              <w:right w:val="nil"/>
            </w:tcBorders>
          </w:tcPr>
          <w:p w14:paraId="5A51A79B" w14:textId="1FAB54B2" w:rsidR="004546ED" w:rsidRPr="003A0F29" w:rsidRDefault="004546ED" w:rsidP="004546ED">
            <w:pPr>
              <w:tabs>
                <w:tab w:val="left" w:pos="2"/>
                <w:tab w:val="decimal" w:pos="882"/>
              </w:tabs>
              <w:jc w:val="right"/>
              <w:rPr>
                <w:lang w:val="en-GB"/>
              </w:rPr>
            </w:pPr>
            <w:r w:rsidRPr="00E1297D">
              <w:rPr>
                <w:lang w:val="en-GB"/>
              </w:rPr>
              <w:t>1,</w:t>
            </w:r>
            <w:r>
              <w:rPr>
                <w:lang w:val="en-GB"/>
              </w:rPr>
              <w:t>299</w:t>
            </w:r>
            <w:r w:rsidRPr="00E1297D">
              <w:rPr>
                <w:lang w:val="en-GB"/>
              </w:rPr>
              <w:t>,</w:t>
            </w:r>
            <w:r>
              <w:rPr>
                <w:lang w:val="en-GB"/>
              </w:rPr>
              <w:t>400</w:t>
            </w:r>
          </w:p>
        </w:tc>
        <w:tc>
          <w:tcPr>
            <w:tcW w:w="1440" w:type="dxa"/>
            <w:tcBorders>
              <w:top w:val="nil"/>
              <w:left w:val="nil"/>
              <w:bottom w:val="nil"/>
              <w:right w:val="nil"/>
            </w:tcBorders>
          </w:tcPr>
          <w:p w14:paraId="0997BBDB" w14:textId="5776A742" w:rsidR="004546ED" w:rsidRPr="00932E4D" w:rsidRDefault="004546ED" w:rsidP="004546ED">
            <w:pPr>
              <w:tabs>
                <w:tab w:val="left" w:pos="2"/>
                <w:tab w:val="decimal" w:pos="882"/>
              </w:tabs>
              <w:jc w:val="right"/>
              <w:rPr>
                <w:lang w:val="en-GB"/>
              </w:rPr>
            </w:pPr>
            <w:r>
              <w:rPr>
                <w:lang w:val="en-GB"/>
              </w:rPr>
              <w:t>1</w:t>
            </w:r>
            <w:r w:rsidRPr="00FA1802">
              <w:rPr>
                <w:lang w:val="en-GB"/>
              </w:rPr>
              <w:t>,</w:t>
            </w:r>
            <w:r>
              <w:rPr>
                <w:lang w:val="en-GB"/>
              </w:rPr>
              <w:t>773</w:t>
            </w:r>
            <w:r w:rsidRPr="00FA1802">
              <w:rPr>
                <w:lang w:val="en-GB"/>
              </w:rPr>
              <w:t>,</w:t>
            </w:r>
            <w:r>
              <w:rPr>
                <w:lang w:val="en-GB"/>
              </w:rPr>
              <w:t>803</w:t>
            </w:r>
          </w:p>
        </w:tc>
      </w:tr>
      <w:tr w:rsidR="004546ED" w14:paraId="39ADDCE8" w14:textId="77777777" w:rsidTr="00F77049">
        <w:trPr>
          <w:jc w:val="right"/>
        </w:trPr>
        <w:tc>
          <w:tcPr>
            <w:tcW w:w="4253" w:type="dxa"/>
            <w:tcBorders>
              <w:top w:val="nil"/>
              <w:left w:val="nil"/>
              <w:bottom w:val="nil"/>
              <w:right w:val="nil"/>
            </w:tcBorders>
          </w:tcPr>
          <w:p w14:paraId="4D587C85" w14:textId="77777777" w:rsidR="004546ED" w:rsidRDefault="004546ED" w:rsidP="004546ED">
            <w:pPr>
              <w:tabs>
                <w:tab w:val="left" w:pos="342"/>
                <w:tab w:val="left" w:pos="522"/>
              </w:tabs>
              <w:jc w:val="both"/>
              <w:rPr>
                <w:lang w:val="en-GB"/>
              </w:rPr>
            </w:pPr>
            <w:r>
              <w:rPr>
                <w:lang w:val="en-GB"/>
              </w:rPr>
              <w:t>Shareholders’ equity</w:t>
            </w:r>
          </w:p>
        </w:tc>
        <w:tc>
          <w:tcPr>
            <w:tcW w:w="1473" w:type="dxa"/>
            <w:tcBorders>
              <w:top w:val="nil"/>
              <w:left w:val="nil"/>
              <w:bottom w:val="nil"/>
              <w:right w:val="nil"/>
            </w:tcBorders>
          </w:tcPr>
          <w:p w14:paraId="56ADDE6B" w14:textId="16ED6981" w:rsidR="004546ED" w:rsidRPr="00A448E8" w:rsidRDefault="004546ED" w:rsidP="004546ED">
            <w:pPr>
              <w:tabs>
                <w:tab w:val="left" w:pos="2"/>
                <w:tab w:val="decimal" w:pos="882"/>
              </w:tabs>
              <w:jc w:val="right"/>
              <w:rPr>
                <w:lang w:val="en-GB"/>
              </w:rPr>
            </w:pPr>
            <w:r w:rsidRPr="00E1297D">
              <w:rPr>
                <w:lang w:val="en-GB"/>
              </w:rPr>
              <w:t>5,</w:t>
            </w:r>
            <w:r>
              <w:rPr>
                <w:lang w:val="en-GB"/>
              </w:rPr>
              <w:t>109</w:t>
            </w:r>
            <w:r w:rsidRPr="00E1297D">
              <w:rPr>
                <w:lang w:val="en-GB"/>
              </w:rPr>
              <w:t>,</w:t>
            </w:r>
            <w:r>
              <w:rPr>
                <w:lang w:val="en-GB"/>
              </w:rPr>
              <w:t>488</w:t>
            </w:r>
          </w:p>
        </w:tc>
        <w:tc>
          <w:tcPr>
            <w:tcW w:w="1440" w:type="dxa"/>
            <w:tcBorders>
              <w:top w:val="nil"/>
              <w:left w:val="nil"/>
              <w:bottom w:val="nil"/>
              <w:right w:val="nil"/>
            </w:tcBorders>
          </w:tcPr>
          <w:p w14:paraId="673AA27C" w14:textId="317245C7" w:rsidR="004546ED" w:rsidRPr="00A448E8" w:rsidRDefault="004546ED" w:rsidP="004546ED">
            <w:pPr>
              <w:tabs>
                <w:tab w:val="left" w:pos="2"/>
                <w:tab w:val="decimal" w:pos="882"/>
              </w:tabs>
              <w:jc w:val="right"/>
              <w:rPr>
                <w:lang w:val="en-GB"/>
              </w:rPr>
            </w:pPr>
            <w:r w:rsidRPr="00E1297D">
              <w:rPr>
                <w:lang w:val="en-GB"/>
              </w:rPr>
              <w:t>5,</w:t>
            </w:r>
            <w:r>
              <w:rPr>
                <w:lang w:val="en-GB"/>
              </w:rPr>
              <w:t>341</w:t>
            </w:r>
            <w:r w:rsidRPr="00E1297D">
              <w:rPr>
                <w:lang w:val="en-GB"/>
              </w:rPr>
              <w:t>,</w:t>
            </w:r>
            <w:r>
              <w:rPr>
                <w:lang w:val="en-GB"/>
              </w:rPr>
              <w:t>700</w:t>
            </w:r>
          </w:p>
        </w:tc>
        <w:tc>
          <w:tcPr>
            <w:tcW w:w="1440" w:type="dxa"/>
            <w:tcBorders>
              <w:top w:val="nil"/>
              <w:left w:val="nil"/>
              <w:bottom w:val="nil"/>
              <w:right w:val="nil"/>
            </w:tcBorders>
          </w:tcPr>
          <w:p w14:paraId="4F78534D" w14:textId="7AA988AD" w:rsidR="004546ED" w:rsidRPr="003A0F29" w:rsidRDefault="004546ED" w:rsidP="004546ED">
            <w:pPr>
              <w:tabs>
                <w:tab w:val="left" w:pos="2"/>
                <w:tab w:val="decimal" w:pos="882"/>
              </w:tabs>
              <w:jc w:val="right"/>
              <w:rPr>
                <w:lang w:val="en-GB"/>
              </w:rPr>
            </w:pPr>
            <w:r w:rsidRPr="00E1297D">
              <w:rPr>
                <w:lang w:val="en-GB"/>
              </w:rPr>
              <w:t>5,</w:t>
            </w:r>
            <w:r>
              <w:rPr>
                <w:lang w:val="en-GB"/>
              </w:rPr>
              <w:t>424</w:t>
            </w:r>
            <w:r w:rsidRPr="00E1297D">
              <w:rPr>
                <w:lang w:val="en-GB"/>
              </w:rPr>
              <w:t>,</w:t>
            </w:r>
            <w:r>
              <w:rPr>
                <w:lang w:val="en-GB"/>
              </w:rPr>
              <w:t>091</w:t>
            </w:r>
          </w:p>
        </w:tc>
        <w:tc>
          <w:tcPr>
            <w:tcW w:w="1440" w:type="dxa"/>
            <w:tcBorders>
              <w:top w:val="nil"/>
              <w:left w:val="nil"/>
              <w:bottom w:val="nil"/>
              <w:right w:val="nil"/>
            </w:tcBorders>
          </w:tcPr>
          <w:p w14:paraId="56208C29" w14:textId="2C698D90" w:rsidR="004546ED" w:rsidRPr="00932E4D" w:rsidRDefault="004546ED" w:rsidP="004546ED">
            <w:pPr>
              <w:tabs>
                <w:tab w:val="left" w:pos="2"/>
                <w:tab w:val="decimal" w:pos="882"/>
              </w:tabs>
              <w:jc w:val="right"/>
              <w:rPr>
                <w:lang w:val="en-GB"/>
              </w:rPr>
            </w:pPr>
            <w:r>
              <w:rPr>
                <w:lang w:val="en-GB"/>
              </w:rPr>
              <w:t>5</w:t>
            </w:r>
            <w:r w:rsidRPr="00FA1802">
              <w:rPr>
                <w:lang w:val="en-GB"/>
              </w:rPr>
              <w:t>,</w:t>
            </w:r>
            <w:r>
              <w:rPr>
                <w:lang w:val="en-GB"/>
              </w:rPr>
              <w:t>935</w:t>
            </w:r>
            <w:r w:rsidRPr="00FA1802">
              <w:rPr>
                <w:lang w:val="en-GB"/>
              </w:rPr>
              <w:t>,</w:t>
            </w:r>
            <w:r>
              <w:rPr>
                <w:lang w:val="en-GB"/>
              </w:rPr>
              <w:t>664</w:t>
            </w:r>
          </w:p>
        </w:tc>
      </w:tr>
      <w:tr w:rsidR="004546ED" w14:paraId="748BE915" w14:textId="77777777" w:rsidTr="00F77049">
        <w:trPr>
          <w:jc w:val="right"/>
        </w:trPr>
        <w:tc>
          <w:tcPr>
            <w:tcW w:w="4253" w:type="dxa"/>
            <w:tcBorders>
              <w:top w:val="nil"/>
              <w:left w:val="nil"/>
              <w:bottom w:val="nil"/>
              <w:right w:val="nil"/>
            </w:tcBorders>
          </w:tcPr>
          <w:p w14:paraId="5E008C37" w14:textId="77777777" w:rsidR="004546ED" w:rsidRDefault="004546ED" w:rsidP="004546ED">
            <w:pPr>
              <w:tabs>
                <w:tab w:val="left" w:pos="342"/>
                <w:tab w:val="left" w:pos="522"/>
              </w:tabs>
              <w:jc w:val="both"/>
              <w:rPr>
                <w:lang w:val="en-GB"/>
              </w:rPr>
            </w:pPr>
            <w:r>
              <w:rPr>
                <w:lang w:val="en-GB"/>
              </w:rPr>
              <w:t>Interest income</w:t>
            </w:r>
          </w:p>
        </w:tc>
        <w:tc>
          <w:tcPr>
            <w:tcW w:w="1473" w:type="dxa"/>
            <w:tcBorders>
              <w:top w:val="nil"/>
              <w:left w:val="nil"/>
              <w:bottom w:val="nil"/>
              <w:right w:val="nil"/>
            </w:tcBorders>
          </w:tcPr>
          <w:p w14:paraId="56101550" w14:textId="54019DFA" w:rsidR="004546ED" w:rsidRPr="00A448E8" w:rsidRDefault="004546ED" w:rsidP="004546ED">
            <w:pPr>
              <w:tabs>
                <w:tab w:val="left" w:pos="2"/>
                <w:tab w:val="decimal" w:pos="1242"/>
              </w:tabs>
              <w:jc w:val="right"/>
              <w:rPr>
                <w:lang w:val="en-GB"/>
              </w:rPr>
            </w:pPr>
            <w:r>
              <w:rPr>
                <w:lang w:val="en-GB"/>
              </w:rPr>
              <w:t>3</w:t>
            </w:r>
            <w:r w:rsidRPr="00124477">
              <w:rPr>
                <w:lang w:val="en-GB"/>
              </w:rPr>
              <w:t>,</w:t>
            </w:r>
            <w:r>
              <w:rPr>
                <w:lang w:val="en-GB"/>
              </w:rPr>
              <w:t>160</w:t>
            </w:r>
          </w:p>
        </w:tc>
        <w:tc>
          <w:tcPr>
            <w:tcW w:w="1440" w:type="dxa"/>
            <w:tcBorders>
              <w:top w:val="nil"/>
              <w:left w:val="nil"/>
              <w:bottom w:val="nil"/>
              <w:right w:val="nil"/>
            </w:tcBorders>
          </w:tcPr>
          <w:p w14:paraId="420E7727" w14:textId="0ED657E4" w:rsidR="004546ED" w:rsidRPr="00A448E8" w:rsidRDefault="004546ED" w:rsidP="004546ED">
            <w:pPr>
              <w:tabs>
                <w:tab w:val="left" w:pos="2"/>
                <w:tab w:val="decimal" w:pos="1242"/>
              </w:tabs>
              <w:jc w:val="right"/>
              <w:rPr>
                <w:lang w:val="en-GB"/>
              </w:rPr>
            </w:pPr>
            <w:r>
              <w:rPr>
                <w:lang w:val="en-GB"/>
              </w:rPr>
              <w:t>5</w:t>
            </w:r>
            <w:r w:rsidRPr="00124477">
              <w:rPr>
                <w:lang w:val="en-GB"/>
              </w:rPr>
              <w:t>,</w:t>
            </w:r>
            <w:r>
              <w:rPr>
                <w:lang w:val="en-GB"/>
              </w:rPr>
              <w:t>195</w:t>
            </w:r>
          </w:p>
        </w:tc>
        <w:tc>
          <w:tcPr>
            <w:tcW w:w="1440" w:type="dxa"/>
            <w:tcBorders>
              <w:top w:val="nil"/>
              <w:left w:val="nil"/>
              <w:bottom w:val="nil"/>
              <w:right w:val="nil"/>
            </w:tcBorders>
          </w:tcPr>
          <w:p w14:paraId="3FFDEBE2" w14:textId="3E2B106A" w:rsidR="004546ED" w:rsidRPr="003A0F29" w:rsidRDefault="004546ED" w:rsidP="004546ED">
            <w:pPr>
              <w:tabs>
                <w:tab w:val="left" w:pos="2"/>
                <w:tab w:val="decimal" w:pos="1242"/>
              </w:tabs>
              <w:jc w:val="right"/>
              <w:rPr>
                <w:lang w:val="en-GB"/>
              </w:rPr>
            </w:pPr>
            <w:r w:rsidRPr="00124477">
              <w:rPr>
                <w:lang w:val="en-GB"/>
              </w:rPr>
              <w:t>4,1</w:t>
            </w:r>
            <w:r>
              <w:rPr>
                <w:lang w:val="en-GB"/>
              </w:rPr>
              <w:t>60</w:t>
            </w:r>
          </w:p>
        </w:tc>
        <w:tc>
          <w:tcPr>
            <w:tcW w:w="1440" w:type="dxa"/>
            <w:tcBorders>
              <w:top w:val="nil"/>
              <w:left w:val="nil"/>
              <w:bottom w:val="nil"/>
              <w:right w:val="nil"/>
            </w:tcBorders>
          </w:tcPr>
          <w:p w14:paraId="0B4F1958" w14:textId="40408477" w:rsidR="004546ED" w:rsidRPr="00932E4D" w:rsidRDefault="004546ED" w:rsidP="004546ED">
            <w:pPr>
              <w:tabs>
                <w:tab w:val="left" w:pos="2"/>
                <w:tab w:val="decimal" w:pos="1242"/>
              </w:tabs>
              <w:jc w:val="right"/>
              <w:rPr>
                <w:lang w:val="en-GB"/>
              </w:rPr>
            </w:pPr>
            <w:r>
              <w:rPr>
                <w:lang w:val="en-GB"/>
              </w:rPr>
              <w:t>1,606</w:t>
            </w:r>
          </w:p>
        </w:tc>
      </w:tr>
      <w:tr w:rsidR="004546ED" w14:paraId="352DF029" w14:textId="77777777" w:rsidTr="00F77049">
        <w:trPr>
          <w:jc w:val="right"/>
        </w:trPr>
        <w:tc>
          <w:tcPr>
            <w:tcW w:w="4253" w:type="dxa"/>
            <w:tcBorders>
              <w:top w:val="nil"/>
              <w:left w:val="nil"/>
              <w:bottom w:val="nil"/>
              <w:right w:val="nil"/>
            </w:tcBorders>
          </w:tcPr>
          <w:p w14:paraId="5808E02A" w14:textId="174FCF0A" w:rsidR="004546ED" w:rsidRDefault="004546ED" w:rsidP="004546ED">
            <w:pPr>
              <w:tabs>
                <w:tab w:val="left" w:pos="342"/>
                <w:tab w:val="left" w:pos="522"/>
              </w:tabs>
              <w:jc w:val="both"/>
              <w:rPr>
                <w:lang w:val="en-GB"/>
              </w:rPr>
            </w:pPr>
            <w:r>
              <w:rPr>
                <w:lang w:val="en-GB"/>
              </w:rPr>
              <w:t>Management fee income</w:t>
            </w:r>
          </w:p>
        </w:tc>
        <w:tc>
          <w:tcPr>
            <w:tcW w:w="1473" w:type="dxa"/>
            <w:tcBorders>
              <w:top w:val="nil"/>
              <w:left w:val="nil"/>
              <w:right w:val="nil"/>
            </w:tcBorders>
          </w:tcPr>
          <w:p w14:paraId="678CA085" w14:textId="3DBC9718" w:rsidR="004546ED" w:rsidRPr="0016398A" w:rsidRDefault="004546ED" w:rsidP="004546ED">
            <w:pPr>
              <w:tabs>
                <w:tab w:val="left" w:pos="2"/>
                <w:tab w:val="decimal" w:pos="1242"/>
              </w:tabs>
              <w:ind w:left="360"/>
              <w:jc w:val="right"/>
              <w:rPr>
                <w:lang w:val="en-GB"/>
              </w:rPr>
            </w:pPr>
            <w:r>
              <w:rPr>
                <w:lang w:val="en-GB"/>
              </w:rPr>
              <w:t>-</w:t>
            </w:r>
          </w:p>
        </w:tc>
        <w:tc>
          <w:tcPr>
            <w:tcW w:w="1440" w:type="dxa"/>
            <w:tcBorders>
              <w:top w:val="nil"/>
              <w:left w:val="nil"/>
              <w:right w:val="nil"/>
            </w:tcBorders>
          </w:tcPr>
          <w:p w14:paraId="18F6F26C" w14:textId="1302DE72" w:rsidR="004546ED" w:rsidRPr="00C67E48" w:rsidRDefault="004546ED" w:rsidP="004546ED">
            <w:pPr>
              <w:tabs>
                <w:tab w:val="left" w:pos="2"/>
                <w:tab w:val="decimal" w:pos="1242"/>
              </w:tabs>
              <w:ind w:left="360"/>
              <w:jc w:val="right"/>
              <w:rPr>
                <w:lang w:val="en-GB"/>
              </w:rPr>
            </w:pPr>
            <w:r>
              <w:rPr>
                <w:lang w:val="en-GB"/>
              </w:rPr>
              <w:t>-</w:t>
            </w:r>
          </w:p>
        </w:tc>
        <w:tc>
          <w:tcPr>
            <w:tcW w:w="1440" w:type="dxa"/>
            <w:tcBorders>
              <w:top w:val="nil"/>
              <w:left w:val="nil"/>
              <w:right w:val="nil"/>
            </w:tcBorders>
          </w:tcPr>
          <w:p w14:paraId="54BEE67C" w14:textId="11B6A5E3" w:rsidR="004546ED" w:rsidRPr="0013624C" w:rsidRDefault="004546ED" w:rsidP="004546ED">
            <w:pPr>
              <w:tabs>
                <w:tab w:val="left" w:pos="2"/>
                <w:tab w:val="decimal" w:pos="1242"/>
              </w:tabs>
              <w:ind w:left="360"/>
              <w:jc w:val="right"/>
              <w:rPr>
                <w:lang w:val="en-GB"/>
              </w:rPr>
            </w:pPr>
            <w:r w:rsidRPr="00124477">
              <w:rPr>
                <w:lang w:val="en-GB"/>
              </w:rPr>
              <w:t>9,615</w:t>
            </w:r>
          </w:p>
        </w:tc>
        <w:tc>
          <w:tcPr>
            <w:tcW w:w="1440" w:type="dxa"/>
            <w:tcBorders>
              <w:top w:val="nil"/>
              <w:left w:val="nil"/>
              <w:right w:val="nil"/>
            </w:tcBorders>
          </w:tcPr>
          <w:p w14:paraId="3A9D074D" w14:textId="45247BE1" w:rsidR="004546ED" w:rsidRPr="00F77049" w:rsidRDefault="004546ED" w:rsidP="004546ED">
            <w:pPr>
              <w:tabs>
                <w:tab w:val="left" w:pos="2"/>
                <w:tab w:val="decimal" w:pos="1242"/>
              </w:tabs>
              <w:ind w:left="360"/>
              <w:jc w:val="right"/>
              <w:rPr>
                <w:lang w:val="en-GB"/>
              </w:rPr>
            </w:pPr>
            <w:r>
              <w:rPr>
                <w:lang w:val="en-GB"/>
              </w:rPr>
              <w:t>5,511</w:t>
            </w:r>
          </w:p>
        </w:tc>
      </w:tr>
      <w:tr w:rsidR="004546ED" w14:paraId="299AC2F5" w14:textId="77777777" w:rsidTr="00F77049">
        <w:trPr>
          <w:jc w:val="right"/>
        </w:trPr>
        <w:tc>
          <w:tcPr>
            <w:tcW w:w="4253" w:type="dxa"/>
            <w:tcBorders>
              <w:top w:val="nil"/>
              <w:left w:val="nil"/>
              <w:right w:val="nil"/>
            </w:tcBorders>
          </w:tcPr>
          <w:p w14:paraId="3679B999" w14:textId="77777777" w:rsidR="004546ED" w:rsidRDefault="004546ED" w:rsidP="004546ED">
            <w:pPr>
              <w:tabs>
                <w:tab w:val="left" w:pos="342"/>
                <w:tab w:val="left" w:pos="522"/>
              </w:tabs>
              <w:jc w:val="both"/>
              <w:rPr>
                <w:lang w:val="en-GB"/>
              </w:rPr>
            </w:pPr>
            <w:r>
              <w:rPr>
                <w:lang w:val="en-GB"/>
              </w:rPr>
              <w:t>Net comprehensive loss</w:t>
            </w:r>
          </w:p>
        </w:tc>
        <w:tc>
          <w:tcPr>
            <w:tcW w:w="1473" w:type="dxa"/>
            <w:tcBorders>
              <w:top w:val="nil"/>
              <w:left w:val="nil"/>
              <w:right w:val="nil"/>
            </w:tcBorders>
          </w:tcPr>
          <w:p w14:paraId="76D1FCDE" w14:textId="3BCF3891" w:rsidR="004546ED" w:rsidRPr="00A448E8" w:rsidRDefault="004546ED" w:rsidP="004546ED">
            <w:pPr>
              <w:tabs>
                <w:tab w:val="left" w:pos="2"/>
                <w:tab w:val="decimal" w:pos="1242"/>
              </w:tabs>
              <w:jc w:val="right"/>
              <w:rPr>
                <w:lang w:val="en-GB"/>
              </w:rPr>
            </w:pPr>
            <w:r w:rsidRPr="00124477">
              <w:rPr>
                <w:lang w:val="en-GB"/>
              </w:rPr>
              <w:t>(</w:t>
            </w:r>
            <w:r>
              <w:rPr>
                <w:lang w:val="en-GB"/>
              </w:rPr>
              <w:t>242</w:t>
            </w:r>
            <w:r w:rsidRPr="00124477">
              <w:rPr>
                <w:lang w:val="en-GB"/>
              </w:rPr>
              <w:t>,</w:t>
            </w:r>
            <w:r>
              <w:rPr>
                <w:lang w:val="en-GB"/>
              </w:rPr>
              <w:t>009</w:t>
            </w:r>
            <w:r w:rsidRPr="00124477">
              <w:rPr>
                <w:lang w:val="en-GB"/>
              </w:rPr>
              <w:t>)</w:t>
            </w:r>
          </w:p>
        </w:tc>
        <w:tc>
          <w:tcPr>
            <w:tcW w:w="1440" w:type="dxa"/>
            <w:tcBorders>
              <w:top w:val="nil"/>
              <w:left w:val="nil"/>
              <w:right w:val="nil"/>
            </w:tcBorders>
          </w:tcPr>
          <w:p w14:paraId="70DECC21" w14:textId="61328902" w:rsidR="004546ED" w:rsidRPr="00A448E8" w:rsidRDefault="004546ED" w:rsidP="004546ED">
            <w:pPr>
              <w:tabs>
                <w:tab w:val="left" w:pos="2"/>
                <w:tab w:val="decimal" w:pos="1242"/>
              </w:tabs>
              <w:jc w:val="right"/>
              <w:rPr>
                <w:lang w:val="en-GB"/>
              </w:rPr>
            </w:pPr>
            <w:r w:rsidRPr="00124477">
              <w:rPr>
                <w:lang w:val="en-GB"/>
              </w:rPr>
              <w:t>(</w:t>
            </w:r>
            <w:r>
              <w:rPr>
                <w:lang w:val="en-GB"/>
              </w:rPr>
              <w:t>127</w:t>
            </w:r>
            <w:r w:rsidRPr="00124477">
              <w:rPr>
                <w:lang w:val="en-GB"/>
              </w:rPr>
              <w:t>,</w:t>
            </w:r>
            <w:r>
              <w:rPr>
                <w:lang w:val="en-GB"/>
              </w:rPr>
              <w:t>122</w:t>
            </w:r>
            <w:r w:rsidRPr="00124477">
              <w:rPr>
                <w:lang w:val="en-GB"/>
              </w:rPr>
              <w:t>)</w:t>
            </w:r>
          </w:p>
        </w:tc>
        <w:tc>
          <w:tcPr>
            <w:tcW w:w="1440" w:type="dxa"/>
            <w:tcBorders>
              <w:top w:val="nil"/>
              <w:left w:val="nil"/>
              <w:right w:val="nil"/>
            </w:tcBorders>
          </w:tcPr>
          <w:p w14:paraId="2E49F504" w14:textId="3903EF7D" w:rsidR="004546ED" w:rsidRPr="003A0F29" w:rsidRDefault="004546ED" w:rsidP="004546ED">
            <w:pPr>
              <w:tabs>
                <w:tab w:val="left" w:pos="2"/>
                <w:tab w:val="decimal" w:pos="1242"/>
              </w:tabs>
              <w:jc w:val="right"/>
              <w:rPr>
                <w:lang w:val="en-GB"/>
              </w:rPr>
            </w:pPr>
            <w:r w:rsidRPr="00124477">
              <w:rPr>
                <w:lang w:val="en-GB"/>
              </w:rPr>
              <w:t>(</w:t>
            </w:r>
            <w:r>
              <w:rPr>
                <w:lang w:val="en-GB"/>
              </w:rPr>
              <w:t>661</w:t>
            </w:r>
            <w:r w:rsidRPr="00124477">
              <w:rPr>
                <w:lang w:val="en-GB"/>
              </w:rPr>
              <w:t>,</w:t>
            </w:r>
            <w:r>
              <w:rPr>
                <w:lang w:val="en-GB"/>
              </w:rPr>
              <w:t>401</w:t>
            </w:r>
            <w:r w:rsidRPr="00124477">
              <w:rPr>
                <w:lang w:val="en-GB"/>
              </w:rPr>
              <w:t>)</w:t>
            </w:r>
          </w:p>
        </w:tc>
        <w:tc>
          <w:tcPr>
            <w:tcW w:w="1440" w:type="dxa"/>
            <w:tcBorders>
              <w:top w:val="nil"/>
              <w:left w:val="nil"/>
              <w:right w:val="nil"/>
            </w:tcBorders>
          </w:tcPr>
          <w:p w14:paraId="66496B00" w14:textId="1EEA16F2" w:rsidR="004546ED" w:rsidRPr="00932E4D" w:rsidRDefault="004546ED" w:rsidP="004546ED">
            <w:pPr>
              <w:tabs>
                <w:tab w:val="left" w:pos="2"/>
                <w:tab w:val="decimal" w:pos="1242"/>
              </w:tabs>
              <w:jc w:val="right"/>
              <w:rPr>
                <w:lang w:val="en-GB"/>
              </w:rPr>
            </w:pPr>
            <w:r w:rsidRPr="00FA1802">
              <w:rPr>
                <w:lang w:val="en-GB"/>
              </w:rPr>
              <w:t>(</w:t>
            </w:r>
            <w:r>
              <w:rPr>
                <w:lang w:val="en-GB"/>
              </w:rPr>
              <w:t>141</w:t>
            </w:r>
            <w:r w:rsidRPr="00FA1802">
              <w:rPr>
                <w:lang w:val="en-GB"/>
              </w:rPr>
              <w:t>,</w:t>
            </w:r>
            <w:r>
              <w:rPr>
                <w:lang w:val="en-GB"/>
              </w:rPr>
              <w:t>755</w:t>
            </w:r>
            <w:r w:rsidRPr="00FA1802">
              <w:rPr>
                <w:lang w:val="en-GB"/>
              </w:rPr>
              <w:t>)</w:t>
            </w:r>
          </w:p>
        </w:tc>
      </w:tr>
      <w:tr w:rsidR="004546ED" w14:paraId="240883FC" w14:textId="77777777" w:rsidTr="00F77049">
        <w:trPr>
          <w:jc w:val="right"/>
        </w:trPr>
        <w:tc>
          <w:tcPr>
            <w:tcW w:w="4253" w:type="dxa"/>
            <w:tcBorders>
              <w:top w:val="nil"/>
              <w:left w:val="nil"/>
              <w:bottom w:val="double" w:sz="4" w:space="0" w:color="auto"/>
              <w:right w:val="nil"/>
            </w:tcBorders>
          </w:tcPr>
          <w:p w14:paraId="3135F052" w14:textId="77777777" w:rsidR="004546ED" w:rsidRDefault="004546ED" w:rsidP="004546ED">
            <w:pPr>
              <w:tabs>
                <w:tab w:val="left" w:pos="342"/>
                <w:tab w:val="left" w:pos="522"/>
              </w:tabs>
              <w:jc w:val="both"/>
              <w:rPr>
                <w:lang w:val="en-GB"/>
              </w:rPr>
            </w:pPr>
            <w:r>
              <w:rPr>
                <w:lang w:val="en-GB"/>
              </w:rPr>
              <w:t xml:space="preserve">Loss per share </w:t>
            </w:r>
          </w:p>
        </w:tc>
        <w:tc>
          <w:tcPr>
            <w:tcW w:w="1473" w:type="dxa"/>
            <w:tcBorders>
              <w:top w:val="nil"/>
              <w:left w:val="nil"/>
              <w:bottom w:val="double" w:sz="4" w:space="0" w:color="auto"/>
              <w:right w:val="nil"/>
            </w:tcBorders>
          </w:tcPr>
          <w:p w14:paraId="7D513FEB" w14:textId="4FF3154F" w:rsidR="004546ED" w:rsidRPr="00A448E8" w:rsidRDefault="004546ED" w:rsidP="004546ED">
            <w:pPr>
              <w:tabs>
                <w:tab w:val="left" w:pos="2"/>
                <w:tab w:val="decimal" w:pos="1134"/>
              </w:tabs>
              <w:jc w:val="right"/>
              <w:rPr>
                <w:lang w:val="en-GB"/>
              </w:rPr>
            </w:pPr>
            <w:r w:rsidRPr="00124477">
              <w:rPr>
                <w:lang w:val="en-GB"/>
              </w:rPr>
              <w:t>(0.01)</w:t>
            </w:r>
          </w:p>
        </w:tc>
        <w:tc>
          <w:tcPr>
            <w:tcW w:w="1440" w:type="dxa"/>
            <w:tcBorders>
              <w:top w:val="nil"/>
              <w:left w:val="nil"/>
              <w:bottom w:val="double" w:sz="4" w:space="0" w:color="auto"/>
              <w:right w:val="nil"/>
            </w:tcBorders>
          </w:tcPr>
          <w:p w14:paraId="310E1B2D" w14:textId="45E0293D" w:rsidR="004546ED" w:rsidRPr="00A448E8" w:rsidRDefault="004546ED" w:rsidP="004546ED">
            <w:pPr>
              <w:tabs>
                <w:tab w:val="left" w:pos="2"/>
                <w:tab w:val="decimal" w:pos="1134"/>
              </w:tabs>
              <w:jc w:val="right"/>
              <w:rPr>
                <w:lang w:val="en-GB"/>
              </w:rPr>
            </w:pPr>
            <w:r w:rsidRPr="00124477">
              <w:rPr>
                <w:lang w:val="en-GB"/>
              </w:rPr>
              <w:t>(0.01)</w:t>
            </w:r>
          </w:p>
        </w:tc>
        <w:tc>
          <w:tcPr>
            <w:tcW w:w="1440" w:type="dxa"/>
            <w:tcBorders>
              <w:top w:val="nil"/>
              <w:left w:val="nil"/>
              <w:bottom w:val="double" w:sz="4" w:space="0" w:color="auto"/>
              <w:right w:val="nil"/>
            </w:tcBorders>
          </w:tcPr>
          <w:p w14:paraId="05354A1E" w14:textId="25D5A1C3" w:rsidR="004546ED" w:rsidRPr="003A0F29" w:rsidRDefault="004546ED" w:rsidP="004546ED">
            <w:pPr>
              <w:tabs>
                <w:tab w:val="left" w:pos="2"/>
                <w:tab w:val="decimal" w:pos="1134"/>
              </w:tabs>
              <w:jc w:val="right"/>
              <w:rPr>
                <w:lang w:val="en-GB"/>
              </w:rPr>
            </w:pPr>
            <w:r w:rsidRPr="00FA1802">
              <w:rPr>
                <w:lang w:val="en-GB"/>
              </w:rPr>
              <w:t>(0.0</w:t>
            </w:r>
            <w:r>
              <w:rPr>
                <w:lang w:val="en-GB"/>
              </w:rPr>
              <w:t>1</w:t>
            </w:r>
            <w:r w:rsidRPr="00FA1802">
              <w:rPr>
                <w:lang w:val="en-GB"/>
              </w:rPr>
              <w:t>)</w:t>
            </w:r>
          </w:p>
        </w:tc>
        <w:tc>
          <w:tcPr>
            <w:tcW w:w="1440" w:type="dxa"/>
            <w:tcBorders>
              <w:top w:val="nil"/>
              <w:left w:val="nil"/>
              <w:bottom w:val="double" w:sz="4" w:space="0" w:color="auto"/>
              <w:right w:val="nil"/>
            </w:tcBorders>
          </w:tcPr>
          <w:p w14:paraId="68692049" w14:textId="42B6E343" w:rsidR="004546ED" w:rsidRPr="00EB5C86" w:rsidRDefault="004546ED" w:rsidP="004546ED">
            <w:pPr>
              <w:tabs>
                <w:tab w:val="left" w:pos="2"/>
                <w:tab w:val="decimal" w:pos="1134"/>
              </w:tabs>
              <w:jc w:val="right"/>
              <w:rPr>
                <w:lang w:val="en-GB"/>
              </w:rPr>
            </w:pPr>
            <w:r w:rsidRPr="00FA1802">
              <w:rPr>
                <w:lang w:val="en-GB"/>
              </w:rPr>
              <w:t>(0.0</w:t>
            </w:r>
            <w:r>
              <w:rPr>
                <w:lang w:val="en-GB"/>
              </w:rPr>
              <w:t>1</w:t>
            </w:r>
            <w:r w:rsidRPr="00FA1802">
              <w:rPr>
                <w:lang w:val="en-GB"/>
              </w:rPr>
              <w:t>)</w:t>
            </w:r>
          </w:p>
        </w:tc>
      </w:tr>
      <w:tr w:rsidR="004E69EC" w14:paraId="09E6F001" w14:textId="77777777" w:rsidTr="00F77049">
        <w:trPr>
          <w:jc w:val="right"/>
        </w:trPr>
        <w:tc>
          <w:tcPr>
            <w:tcW w:w="4253" w:type="dxa"/>
            <w:tcBorders>
              <w:top w:val="double" w:sz="4" w:space="0" w:color="auto"/>
              <w:left w:val="nil"/>
              <w:right w:val="nil"/>
            </w:tcBorders>
          </w:tcPr>
          <w:p w14:paraId="75BC30DC" w14:textId="77777777" w:rsidR="004E69EC" w:rsidRDefault="004E69EC" w:rsidP="008E0A27">
            <w:pPr>
              <w:tabs>
                <w:tab w:val="left" w:pos="342"/>
                <w:tab w:val="left" w:pos="522"/>
              </w:tabs>
              <w:jc w:val="both"/>
              <w:rPr>
                <w:lang w:val="en-GB"/>
              </w:rPr>
            </w:pPr>
          </w:p>
        </w:tc>
        <w:tc>
          <w:tcPr>
            <w:tcW w:w="1473" w:type="dxa"/>
            <w:tcBorders>
              <w:top w:val="double" w:sz="4" w:space="0" w:color="auto"/>
              <w:left w:val="nil"/>
              <w:right w:val="nil"/>
            </w:tcBorders>
          </w:tcPr>
          <w:p w14:paraId="4FAB71B7" w14:textId="77777777" w:rsidR="004E69EC" w:rsidRDefault="004E69EC" w:rsidP="00C6561C">
            <w:pPr>
              <w:tabs>
                <w:tab w:val="left" w:pos="2"/>
                <w:tab w:val="decimal" w:pos="1098"/>
              </w:tabs>
              <w:ind w:right="-148"/>
              <w:jc w:val="both"/>
              <w:rPr>
                <w:lang w:val="en-GB"/>
              </w:rPr>
            </w:pPr>
          </w:p>
        </w:tc>
        <w:tc>
          <w:tcPr>
            <w:tcW w:w="1440" w:type="dxa"/>
            <w:tcBorders>
              <w:top w:val="double" w:sz="4" w:space="0" w:color="auto"/>
              <w:left w:val="nil"/>
              <w:right w:val="nil"/>
            </w:tcBorders>
          </w:tcPr>
          <w:p w14:paraId="7F3654D1" w14:textId="77777777" w:rsidR="004E69EC" w:rsidRDefault="004E69EC" w:rsidP="00C6561C">
            <w:pPr>
              <w:tabs>
                <w:tab w:val="left" w:pos="2"/>
                <w:tab w:val="decimal" w:pos="1098"/>
              </w:tabs>
              <w:ind w:right="-148"/>
              <w:jc w:val="both"/>
              <w:rPr>
                <w:lang w:val="en-GB"/>
              </w:rPr>
            </w:pPr>
          </w:p>
        </w:tc>
        <w:tc>
          <w:tcPr>
            <w:tcW w:w="1440" w:type="dxa"/>
            <w:tcBorders>
              <w:top w:val="double" w:sz="4" w:space="0" w:color="auto"/>
              <w:left w:val="nil"/>
              <w:right w:val="nil"/>
            </w:tcBorders>
          </w:tcPr>
          <w:p w14:paraId="6260BFDF" w14:textId="77777777" w:rsidR="004E69EC" w:rsidRDefault="004E69EC" w:rsidP="00C6561C">
            <w:pPr>
              <w:tabs>
                <w:tab w:val="left" w:pos="2"/>
                <w:tab w:val="decimal" w:pos="1098"/>
              </w:tabs>
              <w:ind w:right="-148"/>
              <w:jc w:val="both"/>
              <w:rPr>
                <w:lang w:val="en-GB"/>
              </w:rPr>
            </w:pPr>
          </w:p>
        </w:tc>
        <w:tc>
          <w:tcPr>
            <w:tcW w:w="1440" w:type="dxa"/>
            <w:tcBorders>
              <w:top w:val="double" w:sz="4" w:space="0" w:color="auto"/>
              <w:left w:val="nil"/>
              <w:right w:val="nil"/>
            </w:tcBorders>
          </w:tcPr>
          <w:p w14:paraId="34ADC839" w14:textId="77777777" w:rsidR="004E69EC" w:rsidRDefault="004E69EC" w:rsidP="00C6561C">
            <w:pPr>
              <w:tabs>
                <w:tab w:val="left" w:pos="2"/>
                <w:tab w:val="decimal" w:pos="1098"/>
              </w:tabs>
              <w:ind w:right="-148"/>
              <w:jc w:val="right"/>
              <w:rPr>
                <w:lang w:val="en-GB"/>
              </w:rPr>
            </w:pPr>
          </w:p>
        </w:tc>
      </w:tr>
    </w:tbl>
    <w:p w14:paraId="2A292A74" w14:textId="77777777" w:rsidR="00F370F9" w:rsidRDefault="007100B4" w:rsidP="007100B4">
      <w:pPr>
        <w:tabs>
          <w:tab w:val="left" w:pos="0"/>
          <w:tab w:val="left" w:pos="990"/>
          <w:tab w:val="left" w:pos="1260"/>
          <w:tab w:val="right" w:pos="10080"/>
        </w:tabs>
        <w:jc w:val="both"/>
      </w:pPr>
      <w:r w:rsidRPr="00AB04C5">
        <w:t>Fluctuations in key financial data can be attributed to var</w:t>
      </w:r>
      <w:r w:rsidR="00727E1A" w:rsidRPr="00AB04C5">
        <w:t>ious</w:t>
      </w:r>
      <w:r w:rsidRPr="00AB04C5">
        <w:t xml:space="preserve"> items such as financings, exploration programs</w:t>
      </w:r>
      <w:r w:rsidR="00B11EDB" w:rsidRPr="00AB04C5">
        <w:t xml:space="preserve">, </w:t>
      </w:r>
      <w:r w:rsidRPr="00AB04C5">
        <w:t>non-cash items such as share-based compensation</w:t>
      </w:r>
      <w:r w:rsidR="00B11EDB" w:rsidRPr="00AB04C5">
        <w:t xml:space="preserve"> and year-end audit adjustments</w:t>
      </w:r>
      <w:r w:rsidRPr="00AB04C5">
        <w:t>.</w:t>
      </w:r>
      <w:r w:rsidRPr="00F370F9">
        <w:t xml:space="preserve"> </w:t>
      </w:r>
    </w:p>
    <w:p w14:paraId="79007A84" w14:textId="77777777" w:rsidR="00D574FE" w:rsidRDefault="00D574FE" w:rsidP="007100B4">
      <w:pPr>
        <w:tabs>
          <w:tab w:val="left" w:pos="0"/>
          <w:tab w:val="left" w:pos="990"/>
          <w:tab w:val="left" w:pos="1260"/>
          <w:tab w:val="right" w:pos="10080"/>
        </w:tabs>
        <w:jc w:val="both"/>
      </w:pPr>
    </w:p>
    <w:p w14:paraId="355F3CB3" w14:textId="04AAE7CF" w:rsidR="004546ED" w:rsidRDefault="004546ED" w:rsidP="007100B4">
      <w:pPr>
        <w:tabs>
          <w:tab w:val="left" w:pos="0"/>
          <w:tab w:val="left" w:pos="990"/>
          <w:tab w:val="left" w:pos="1260"/>
          <w:tab w:val="right" w:pos="10080"/>
        </w:tabs>
        <w:jc w:val="both"/>
      </w:pPr>
      <w:r>
        <w:t>During the quarter ended February 29, 2024 the Company received a US$50,000 ($67,</w:t>
      </w:r>
      <w:r w:rsidR="009A63B6">
        <w:t>850</w:t>
      </w:r>
      <w:r>
        <w:t>) loan</w:t>
      </w:r>
      <w:r w:rsidRPr="00D574FE">
        <w:t xml:space="preserve"> </w:t>
      </w:r>
      <w:r>
        <w:t>from a director of the Company at an interest rate of 12% per annum. Total loan interest of US$9,501 ($12,8</w:t>
      </w:r>
      <w:r w:rsidR="009A63B6">
        <w:t>77</w:t>
      </w:r>
      <w:r>
        <w:t>) was accrued on all loans from the director.</w:t>
      </w:r>
    </w:p>
    <w:p w14:paraId="266DD745" w14:textId="77777777" w:rsidR="004546ED" w:rsidRDefault="004546ED" w:rsidP="007100B4">
      <w:pPr>
        <w:tabs>
          <w:tab w:val="left" w:pos="0"/>
          <w:tab w:val="left" w:pos="990"/>
          <w:tab w:val="left" w:pos="1260"/>
          <w:tab w:val="right" w:pos="10080"/>
        </w:tabs>
        <w:jc w:val="both"/>
      </w:pPr>
    </w:p>
    <w:p w14:paraId="018E5812" w14:textId="487B1EE7" w:rsidR="009540FE" w:rsidRDefault="009540FE" w:rsidP="009540FE">
      <w:pPr>
        <w:tabs>
          <w:tab w:val="left" w:pos="0"/>
          <w:tab w:val="left" w:pos="990"/>
          <w:tab w:val="left" w:pos="1260"/>
          <w:tab w:val="right" w:pos="10080"/>
        </w:tabs>
        <w:jc w:val="both"/>
      </w:pPr>
      <w:r>
        <w:t xml:space="preserve">During the quarter ended November 30, 2023 the Company received </w:t>
      </w:r>
      <w:r w:rsidR="003D7E9C">
        <w:t xml:space="preserve">a </w:t>
      </w:r>
      <w:r>
        <w:t>US$100,000 ($135,820) loan</w:t>
      </w:r>
      <w:r w:rsidRPr="00D574FE">
        <w:t xml:space="preserve"> </w:t>
      </w:r>
      <w:r>
        <w:t xml:space="preserve">from a director of the Company at an interest rate of 12% per annum. </w:t>
      </w:r>
      <w:r w:rsidR="003D7E9C">
        <w:t>Total l</w:t>
      </w:r>
      <w:r>
        <w:t xml:space="preserve">oan interest of US$8,384 ($11,447) was accrued on all loans from the director. </w:t>
      </w:r>
      <w:r w:rsidR="0006616E">
        <w:t xml:space="preserve">The Company </w:t>
      </w:r>
      <w:r w:rsidR="003D7E9C">
        <w:t xml:space="preserve">also </w:t>
      </w:r>
      <w:r w:rsidR="0006616E">
        <w:t>received a refund of $69,206 from the cancellation of various reclamation bonds held with the Bureau of Land Management in the State of Nevada, US</w:t>
      </w:r>
      <w:r w:rsidR="003D7E9C">
        <w:t>A</w:t>
      </w:r>
      <w:r w:rsidR="0006616E">
        <w:t xml:space="preserve">. </w:t>
      </w:r>
      <w:r>
        <w:t xml:space="preserve"> </w:t>
      </w:r>
    </w:p>
    <w:p w14:paraId="338234B3" w14:textId="03DE1E84" w:rsidR="00D574FE" w:rsidRDefault="00D574FE" w:rsidP="007100B4">
      <w:pPr>
        <w:tabs>
          <w:tab w:val="left" w:pos="0"/>
          <w:tab w:val="left" w:pos="990"/>
          <w:tab w:val="left" w:pos="1260"/>
          <w:tab w:val="right" w:pos="10080"/>
        </w:tabs>
        <w:jc w:val="both"/>
      </w:pPr>
      <w:r>
        <w:lastRenderedPageBreak/>
        <w:t xml:space="preserve">During the quarter ended August 31, 2023 the Company received US$200,000 </w:t>
      </w:r>
      <w:r w:rsidR="00965081">
        <w:t xml:space="preserve">($265,200) </w:t>
      </w:r>
      <w:r>
        <w:t>in loans</w:t>
      </w:r>
      <w:r w:rsidRPr="00D574FE">
        <w:t xml:space="preserve"> </w:t>
      </w:r>
      <w:r>
        <w:t xml:space="preserve">from a director of the Company at an interest rate of 12% per annum. </w:t>
      </w:r>
      <w:r w:rsidR="00965081">
        <w:t>Loan interest of US$3,879 ($5,171) was accrued.</w:t>
      </w:r>
      <w:r>
        <w:t xml:space="preserve">  </w:t>
      </w:r>
    </w:p>
    <w:p w14:paraId="36013163" w14:textId="77777777" w:rsidR="00D574FE" w:rsidRDefault="00D574FE" w:rsidP="007100B4">
      <w:pPr>
        <w:tabs>
          <w:tab w:val="left" w:pos="0"/>
          <w:tab w:val="left" w:pos="990"/>
          <w:tab w:val="left" w:pos="1260"/>
          <w:tab w:val="right" w:pos="10080"/>
        </w:tabs>
        <w:jc w:val="both"/>
      </w:pPr>
    </w:p>
    <w:p w14:paraId="39B59E9E" w14:textId="6E27E2D1" w:rsidR="00C67E48" w:rsidRDefault="00807B33" w:rsidP="00BF267C">
      <w:pPr>
        <w:tabs>
          <w:tab w:val="left" w:pos="0"/>
          <w:tab w:val="left" w:pos="990"/>
          <w:tab w:val="left" w:pos="1260"/>
          <w:tab w:val="right" w:pos="10080"/>
        </w:tabs>
        <w:jc w:val="both"/>
      </w:pPr>
      <w:r>
        <w:t xml:space="preserve">During the quarter ended May 31, 2023 the Company completed a non-brokered private placement by raising gross proceeds of $528,440 from the issuance of 8,807,334 common shares and 4,403,667 share purchase warrants exercisable at $0.12 per share expiring April 19, 2025. </w:t>
      </w:r>
      <w:r w:rsidR="00DB2365">
        <w:t xml:space="preserve">The Company charged $820,581 in capitalized expenditures to operations related to the write-off of various exploration and evaluation assets. </w:t>
      </w:r>
      <w:r>
        <w:t xml:space="preserve">The Company also started a drill program on the SW Pipe project. </w:t>
      </w:r>
    </w:p>
    <w:p w14:paraId="3033854F" w14:textId="77777777" w:rsidR="00C67E48" w:rsidRDefault="00C67E48" w:rsidP="00BF267C">
      <w:pPr>
        <w:tabs>
          <w:tab w:val="left" w:pos="0"/>
          <w:tab w:val="left" w:pos="990"/>
          <w:tab w:val="left" w:pos="1260"/>
          <w:tab w:val="right" w:pos="10080"/>
        </w:tabs>
        <w:jc w:val="both"/>
      </w:pPr>
    </w:p>
    <w:p w14:paraId="74C6ED87" w14:textId="4B68E293" w:rsidR="00657730" w:rsidRDefault="00657730" w:rsidP="00BF267C">
      <w:pPr>
        <w:tabs>
          <w:tab w:val="left" w:pos="0"/>
          <w:tab w:val="left" w:pos="990"/>
          <w:tab w:val="left" w:pos="1260"/>
          <w:tab w:val="right" w:pos="10080"/>
        </w:tabs>
        <w:jc w:val="both"/>
      </w:pPr>
      <w:r w:rsidRPr="00997891">
        <w:t>During the quarter ended February 28, 2023</w:t>
      </w:r>
      <w:r w:rsidR="003B0038" w:rsidRPr="00384C9C">
        <w:t xml:space="preserve"> the Company </w:t>
      </w:r>
      <w:r w:rsidR="00997891" w:rsidRPr="00384C9C">
        <w:t xml:space="preserve">continued planning </w:t>
      </w:r>
      <w:r w:rsidR="00886226" w:rsidRPr="00384C9C">
        <w:t xml:space="preserve">its exploration activities </w:t>
      </w:r>
      <w:r w:rsidR="00997891" w:rsidRPr="00384C9C">
        <w:t xml:space="preserve">for its Nevada projects </w:t>
      </w:r>
      <w:r w:rsidR="00886226" w:rsidRPr="00384C9C">
        <w:t xml:space="preserve">over the coming months based on its </w:t>
      </w:r>
      <w:r w:rsidR="00997891" w:rsidRPr="00384C9C">
        <w:t xml:space="preserve">current </w:t>
      </w:r>
      <w:r w:rsidR="00886226" w:rsidRPr="00384C9C">
        <w:t>cash resources</w:t>
      </w:r>
      <w:r w:rsidR="009427C3">
        <w:t>.</w:t>
      </w:r>
    </w:p>
    <w:p w14:paraId="67A8B010" w14:textId="77777777" w:rsidR="00657730" w:rsidRDefault="00657730" w:rsidP="00BF267C">
      <w:pPr>
        <w:tabs>
          <w:tab w:val="left" w:pos="0"/>
          <w:tab w:val="left" w:pos="990"/>
          <w:tab w:val="left" w:pos="1260"/>
          <w:tab w:val="right" w:pos="10080"/>
        </w:tabs>
        <w:jc w:val="both"/>
      </w:pPr>
    </w:p>
    <w:p w14:paraId="7655EE7B" w14:textId="3822DE66" w:rsidR="004F576D" w:rsidRDefault="004F576D" w:rsidP="00BF267C">
      <w:pPr>
        <w:tabs>
          <w:tab w:val="left" w:pos="0"/>
          <w:tab w:val="left" w:pos="990"/>
          <w:tab w:val="left" w:pos="1260"/>
          <w:tab w:val="right" w:pos="10080"/>
        </w:tabs>
        <w:jc w:val="both"/>
      </w:pPr>
      <w:r w:rsidRPr="007D44FB">
        <w:t>During the quarter ended November 30, 2022</w:t>
      </w:r>
      <w:r w:rsidR="00A6396D" w:rsidRPr="00384C9C">
        <w:t xml:space="preserve"> the Company</w:t>
      </w:r>
      <w:r w:rsidR="00A6396D" w:rsidRPr="007D44FB">
        <w:t xml:space="preserve"> continued</w:t>
      </w:r>
      <w:r w:rsidR="00A6396D">
        <w:t xml:space="preserve"> to</w:t>
      </w:r>
      <w:r w:rsidR="007D44FB">
        <w:t xml:space="preserve"> evaluate and assess which projects will be the focus of drilling for the next fiscal year. The Company received a net tax refund of $63,850 from Canada Revenue Agency from </w:t>
      </w:r>
      <w:r w:rsidR="00156528">
        <w:t xml:space="preserve">a tax credit </w:t>
      </w:r>
      <w:r w:rsidR="007D44FB">
        <w:t>assessment of prior fiscal years. The Company also recorded a gain of $</w:t>
      </w:r>
      <w:r w:rsidR="000B5C8B">
        <w:t>29</w:t>
      </w:r>
      <w:r w:rsidR="007D44FB">
        <w:t>,</w:t>
      </w:r>
      <w:r w:rsidR="000B5C8B">
        <w:t>519</w:t>
      </w:r>
      <w:r w:rsidR="007D44FB">
        <w:t xml:space="preserve"> on the recovery of exploration and evaluation costs received from HOC US on SW Pipe from the fiscal year ended August 31, 2022.  </w:t>
      </w:r>
      <w:r w:rsidR="00A6396D">
        <w:t xml:space="preserve"> </w:t>
      </w:r>
    </w:p>
    <w:p w14:paraId="768DFDFB" w14:textId="77777777" w:rsidR="00B04903" w:rsidRDefault="00B04903" w:rsidP="004D4E75">
      <w:pPr>
        <w:tabs>
          <w:tab w:val="left" w:pos="0"/>
          <w:tab w:val="left" w:pos="990"/>
          <w:tab w:val="left" w:pos="1260"/>
          <w:tab w:val="right" w:pos="10080"/>
        </w:tabs>
        <w:jc w:val="both"/>
      </w:pPr>
    </w:p>
    <w:p w14:paraId="5EBC4A5D" w14:textId="1FB1797A" w:rsidR="004D4E75" w:rsidRDefault="004D4E75" w:rsidP="004D4E75">
      <w:pPr>
        <w:tabs>
          <w:tab w:val="left" w:pos="0"/>
          <w:tab w:val="left" w:pos="990"/>
          <w:tab w:val="left" w:pos="1260"/>
          <w:tab w:val="right" w:pos="10080"/>
        </w:tabs>
        <w:jc w:val="both"/>
      </w:pPr>
      <w:r w:rsidRPr="004F1B34">
        <w:t xml:space="preserve">During the quarter ended </w:t>
      </w:r>
      <w:r>
        <w:t>August</w:t>
      </w:r>
      <w:r w:rsidRPr="004F1B34">
        <w:t xml:space="preserve"> 31, 2022 the </w:t>
      </w:r>
      <w:r w:rsidRPr="00124477">
        <w:t>Company earned $</w:t>
      </w:r>
      <w:r w:rsidR="00124477" w:rsidRPr="00124477">
        <w:t>9</w:t>
      </w:r>
      <w:r w:rsidRPr="00124477">
        <w:t>,</w:t>
      </w:r>
      <w:r w:rsidR="00124477" w:rsidRPr="00124477">
        <w:t>615</w:t>
      </w:r>
      <w:r w:rsidRPr="00124477">
        <w:t xml:space="preserve"> as management fees on cash calls of $</w:t>
      </w:r>
      <w:r w:rsidR="00124477" w:rsidRPr="00124477">
        <w:t>96</w:t>
      </w:r>
      <w:r w:rsidRPr="00124477">
        <w:t>,</w:t>
      </w:r>
      <w:r w:rsidR="00124477" w:rsidRPr="00124477">
        <w:t>150</w:t>
      </w:r>
      <w:r w:rsidRPr="00124477">
        <w:t xml:space="preserve"> pursuant to the Agreement with HOC US on the SW Pipe Project. </w:t>
      </w:r>
      <w:r w:rsidR="00124477" w:rsidRPr="00124477">
        <w:t xml:space="preserve">HOC US terminated the Agreement on August 27, 2022. </w:t>
      </w:r>
      <w:r w:rsidRPr="00124477">
        <w:t>The Company announced the assay results from the recently completed drill program on Slumber. Drilling began on Discovery Bay.</w:t>
      </w:r>
      <w:r w:rsidRPr="00E5103A">
        <w:t xml:space="preserve"> </w:t>
      </w:r>
    </w:p>
    <w:p w14:paraId="4059E044" w14:textId="77777777" w:rsidR="004D4E75" w:rsidRDefault="004D4E75" w:rsidP="00BF267C">
      <w:pPr>
        <w:tabs>
          <w:tab w:val="left" w:pos="0"/>
          <w:tab w:val="left" w:pos="990"/>
          <w:tab w:val="left" w:pos="1260"/>
          <w:tab w:val="right" w:pos="10080"/>
        </w:tabs>
        <w:jc w:val="both"/>
      </w:pPr>
    </w:p>
    <w:p w14:paraId="1F779042" w14:textId="358BF887" w:rsidR="0035275C" w:rsidRDefault="0035275C" w:rsidP="00BF267C">
      <w:pPr>
        <w:tabs>
          <w:tab w:val="left" w:pos="0"/>
          <w:tab w:val="left" w:pos="990"/>
          <w:tab w:val="left" w:pos="1260"/>
          <w:tab w:val="right" w:pos="10080"/>
        </w:tabs>
        <w:jc w:val="both"/>
      </w:pPr>
      <w:r w:rsidRPr="004F1B34">
        <w:t>During the quarter ended May 31, 2022 the Company</w:t>
      </w:r>
      <w:r w:rsidR="00411FB1" w:rsidRPr="004F1B34">
        <w:t xml:space="preserve"> earned $5,51</w:t>
      </w:r>
      <w:r w:rsidR="00551322">
        <w:t>1</w:t>
      </w:r>
      <w:r w:rsidR="00411FB1" w:rsidRPr="004F1B34">
        <w:t xml:space="preserve"> as management fees on cash calls of $</w:t>
      </w:r>
      <w:r w:rsidR="004F1B34" w:rsidRPr="004F1B34">
        <w:t>55,104</w:t>
      </w:r>
      <w:r w:rsidR="00411FB1" w:rsidRPr="004F1B34">
        <w:t xml:space="preserve"> pursuant to</w:t>
      </w:r>
      <w:r w:rsidR="00411FB1">
        <w:t xml:space="preserve"> the Agreement with HOC US on the SW Pipe </w:t>
      </w:r>
      <w:r w:rsidR="00411FB1" w:rsidRPr="00E5103A">
        <w:t xml:space="preserve">Project. The Company </w:t>
      </w:r>
      <w:r w:rsidR="004F1B34">
        <w:t xml:space="preserve">announced the assay results from the recently completed drill program on </w:t>
      </w:r>
      <w:r w:rsidR="00411FB1" w:rsidRPr="00E5103A">
        <w:t>Slumber</w:t>
      </w:r>
      <w:r w:rsidR="004F1B34">
        <w:t xml:space="preserve">. Drilling began </w:t>
      </w:r>
      <w:r w:rsidR="00411FB1" w:rsidRPr="00E5103A">
        <w:t xml:space="preserve">on Discovery Bay. </w:t>
      </w:r>
    </w:p>
    <w:p w14:paraId="3A5F971C" w14:textId="77777777" w:rsidR="0035275C" w:rsidRDefault="0035275C" w:rsidP="00BF267C">
      <w:pPr>
        <w:tabs>
          <w:tab w:val="left" w:pos="0"/>
          <w:tab w:val="left" w:pos="990"/>
          <w:tab w:val="left" w:pos="1260"/>
          <w:tab w:val="right" w:pos="10080"/>
        </w:tabs>
        <w:jc w:val="both"/>
      </w:pPr>
    </w:p>
    <w:p w14:paraId="3E531F99" w14:textId="77777777" w:rsidR="00BE46EE" w:rsidRDefault="00BE46EE" w:rsidP="00873538">
      <w:pPr>
        <w:autoSpaceDE w:val="0"/>
        <w:autoSpaceDN w:val="0"/>
        <w:adjustRightInd w:val="0"/>
        <w:jc w:val="both"/>
        <w:rPr>
          <w:lang w:val="en-CA" w:eastAsia="zh-CN"/>
        </w:rPr>
      </w:pPr>
      <w:r>
        <w:rPr>
          <w:lang w:val="en-CA" w:eastAsia="zh-CN"/>
        </w:rPr>
        <w:t xml:space="preserve">The Company has not paid any dividends and it has no present intention of paying dividends on its common shares as it anticipates all available funds will be invested to finance the growth of its business. </w:t>
      </w:r>
    </w:p>
    <w:p w14:paraId="27678155" w14:textId="77777777" w:rsidR="00312FBA" w:rsidRDefault="00312FBA">
      <w:pPr>
        <w:rPr>
          <w:b/>
          <w:sz w:val="24"/>
          <w:szCs w:val="24"/>
        </w:rPr>
      </w:pPr>
    </w:p>
    <w:p w14:paraId="3692CE79" w14:textId="77777777" w:rsidR="00D85237" w:rsidRPr="00072157" w:rsidRDefault="00D85237">
      <w:pPr>
        <w:rPr>
          <w:sz w:val="24"/>
          <w:szCs w:val="24"/>
        </w:rPr>
      </w:pPr>
      <w:r w:rsidRPr="00E35070">
        <w:rPr>
          <w:b/>
          <w:sz w:val="24"/>
          <w:szCs w:val="24"/>
        </w:rPr>
        <w:t>Results of Operations</w:t>
      </w:r>
      <w:r w:rsidR="00F21241" w:rsidRPr="00072157">
        <w:rPr>
          <w:b/>
          <w:sz w:val="24"/>
          <w:szCs w:val="24"/>
        </w:rPr>
        <w:t xml:space="preserve"> </w:t>
      </w:r>
    </w:p>
    <w:p w14:paraId="3907D265" w14:textId="34199959" w:rsidR="006D2BA9" w:rsidRPr="00072157" w:rsidRDefault="00B35467" w:rsidP="006D2BA9">
      <w:pPr>
        <w:jc w:val="both"/>
      </w:pPr>
      <w:r>
        <w:t xml:space="preserve"> </w:t>
      </w:r>
    </w:p>
    <w:p w14:paraId="74EFB1D3" w14:textId="09362315" w:rsidR="009A63B6" w:rsidRDefault="009A63B6" w:rsidP="006D2BA9">
      <w:pPr>
        <w:jc w:val="both"/>
        <w:rPr>
          <w:b/>
          <w:i/>
        </w:rPr>
      </w:pPr>
      <w:r w:rsidRPr="00E537FF">
        <w:rPr>
          <w:b/>
          <w:i/>
        </w:rPr>
        <w:t>Six month period ended February 29, 2024</w:t>
      </w:r>
    </w:p>
    <w:p w14:paraId="6CECF6CA" w14:textId="77777777" w:rsidR="009A63B6" w:rsidRDefault="009A63B6" w:rsidP="006D2BA9">
      <w:pPr>
        <w:jc w:val="both"/>
        <w:rPr>
          <w:b/>
          <w:i/>
        </w:rPr>
      </w:pPr>
    </w:p>
    <w:p w14:paraId="438DD3AF" w14:textId="08530475" w:rsidR="009A63B6" w:rsidRDefault="009A63B6" w:rsidP="009A63B6">
      <w:pPr>
        <w:jc w:val="both"/>
      </w:pPr>
      <w:r w:rsidRPr="00A448E8">
        <w:t xml:space="preserve">During </w:t>
      </w:r>
      <w:r w:rsidRPr="002E63C9">
        <w:t xml:space="preserve">the </w:t>
      </w:r>
      <w:r>
        <w:t xml:space="preserve">six month period </w:t>
      </w:r>
      <w:r w:rsidRPr="002E63C9">
        <w:t xml:space="preserve">ended </w:t>
      </w:r>
      <w:r>
        <w:t>February 29, 2024</w:t>
      </w:r>
      <w:r w:rsidRPr="002E63C9">
        <w:t xml:space="preserve">, the Company had a net comprehensive loss </w:t>
      </w:r>
      <w:r w:rsidRPr="008D0642">
        <w:t>of $</w:t>
      </w:r>
      <w:r>
        <w:t>335</w:t>
      </w:r>
      <w:r w:rsidRPr="008D0642">
        <w:t>,</w:t>
      </w:r>
      <w:r>
        <w:t>396</w:t>
      </w:r>
      <w:r w:rsidRPr="00587BAF">
        <w:t xml:space="preserve"> (202</w:t>
      </w:r>
      <w:r>
        <w:t>3</w:t>
      </w:r>
      <w:r w:rsidRPr="00587BAF">
        <w:t xml:space="preserve"> - $</w:t>
      </w:r>
      <w:r>
        <w:t>369,131</w:t>
      </w:r>
      <w:r w:rsidRPr="00587BAF">
        <w:t>). The net comprehensive loss is comprised of the following items:</w:t>
      </w:r>
      <w:r w:rsidRPr="00385ECD">
        <w:t xml:space="preserve"> </w:t>
      </w:r>
    </w:p>
    <w:p w14:paraId="32FEB1B9" w14:textId="77777777" w:rsidR="009A63B6" w:rsidRPr="00385ECD" w:rsidRDefault="009A63B6" w:rsidP="009A63B6">
      <w:pPr>
        <w:jc w:val="both"/>
      </w:pPr>
    </w:p>
    <w:p w14:paraId="6FF4D52E" w14:textId="4FD4317C" w:rsidR="009A63B6" w:rsidRPr="00A448E8" w:rsidRDefault="009A63B6" w:rsidP="009A63B6">
      <w:pPr>
        <w:pStyle w:val="BodyText"/>
        <w:numPr>
          <w:ilvl w:val="0"/>
          <w:numId w:val="1"/>
        </w:numPr>
        <w:tabs>
          <w:tab w:val="clear" w:pos="720"/>
          <w:tab w:val="num" w:pos="360"/>
        </w:tabs>
        <w:ind w:left="360"/>
        <w:jc w:val="both"/>
        <w:rPr>
          <w:sz w:val="20"/>
        </w:rPr>
      </w:pPr>
      <w:r w:rsidRPr="00301886">
        <w:rPr>
          <w:sz w:val="20"/>
        </w:rPr>
        <w:t xml:space="preserve">Advertising and promotion </w:t>
      </w:r>
      <w:r w:rsidRPr="008D0642">
        <w:rPr>
          <w:sz w:val="20"/>
        </w:rPr>
        <w:t>costs of $</w:t>
      </w:r>
      <w:r w:rsidR="00082118">
        <w:rPr>
          <w:sz w:val="20"/>
        </w:rPr>
        <w:t>131</w:t>
      </w:r>
      <w:r>
        <w:rPr>
          <w:sz w:val="20"/>
        </w:rPr>
        <w:t>,</w:t>
      </w:r>
      <w:r w:rsidR="00082118">
        <w:rPr>
          <w:sz w:val="20"/>
        </w:rPr>
        <w:t>714</w:t>
      </w:r>
      <w:r>
        <w:rPr>
          <w:sz w:val="20"/>
        </w:rPr>
        <w:t xml:space="preserve"> </w:t>
      </w:r>
      <w:r w:rsidRPr="008D0642">
        <w:rPr>
          <w:sz w:val="20"/>
        </w:rPr>
        <w:t>(202</w:t>
      </w:r>
      <w:r w:rsidR="00082118">
        <w:rPr>
          <w:sz w:val="20"/>
        </w:rPr>
        <w:t>3</w:t>
      </w:r>
      <w:r w:rsidRPr="00587BAF">
        <w:rPr>
          <w:sz w:val="20"/>
        </w:rPr>
        <w:t xml:space="preserve"> - $</w:t>
      </w:r>
      <w:r w:rsidR="00082118">
        <w:rPr>
          <w:sz w:val="20"/>
        </w:rPr>
        <w:t>112,703</w:t>
      </w:r>
      <w:r w:rsidRPr="00A448E8">
        <w:rPr>
          <w:sz w:val="20"/>
        </w:rPr>
        <w:t>) were incurred to promote and increase investor awareness of the Company’s various mineral projects</w:t>
      </w:r>
      <w:r>
        <w:rPr>
          <w:sz w:val="20"/>
        </w:rPr>
        <w:t>. The Company entered into various short-term service agreements with independent consultants to provide the Company with exposure to potential new shareholders</w:t>
      </w:r>
      <w:r w:rsidRPr="00FA71CB">
        <w:rPr>
          <w:sz w:val="20"/>
        </w:rPr>
        <w:t>.</w:t>
      </w:r>
      <w:r>
        <w:rPr>
          <w:sz w:val="20"/>
        </w:rPr>
        <w:t xml:space="preserve"> Current period expenses increased over the prior comparative period due to several contracts that carried over from Q4 2023 into the current </w:t>
      </w:r>
      <w:r w:rsidR="00082118">
        <w:rPr>
          <w:sz w:val="20"/>
        </w:rPr>
        <w:t>period</w:t>
      </w:r>
      <w:r>
        <w:rPr>
          <w:sz w:val="20"/>
        </w:rPr>
        <w:t xml:space="preserve">. </w:t>
      </w:r>
      <w:r w:rsidRPr="00A448E8">
        <w:rPr>
          <w:sz w:val="20"/>
        </w:rPr>
        <w:t xml:space="preserve"> </w:t>
      </w:r>
    </w:p>
    <w:p w14:paraId="1EA330C9" w14:textId="77777777" w:rsidR="009A63B6" w:rsidRPr="00A448E8" w:rsidRDefault="009A63B6" w:rsidP="009A63B6">
      <w:pPr>
        <w:pStyle w:val="BodyText"/>
        <w:tabs>
          <w:tab w:val="clear" w:pos="720"/>
        </w:tabs>
        <w:jc w:val="both"/>
        <w:rPr>
          <w:sz w:val="20"/>
        </w:rPr>
      </w:pPr>
    </w:p>
    <w:p w14:paraId="75935839" w14:textId="3C224524" w:rsidR="009A63B6" w:rsidRPr="00A448E8" w:rsidRDefault="009A63B6" w:rsidP="009A63B6">
      <w:pPr>
        <w:pStyle w:val="BodyText"/>
        <w:numPr>
          <w:ilvl w:val="0"/>
          <w:numId w:val="1"/>
        </w:numPr>
        <w:tabs>
          <w:tab w:val="clear" w:pos="720"/>
          <w:tab w:val="num" w:pos="360"/>
        </w:tabs>
        <w:ind w:left="360"/>
        <w:jc w:val="both"/>
        <w:rPr>
          <w:sz w:val="20"/>
        </w:rPr>
      </w:pPr>
      <w:r w:rsidRPr="00A448E8">
        <w:rPr>
          <w:sz w:val="20"/>
        </w:rPr>
        <w:t xml:space="preserve">Bank </w:t>
      </w:r>
      <w:r w:rsidRPr="007F5A45">
        <w:rPr>
          <w:sz w:val="20"/>
        </w:rPr>
        <w:t xml:space="preserve">charges and </w:t>
      </w:r>
      <w:r w:rsidRPr="00F128C3">
        <w:rPr>
          <w:sz w:val="20"/>
        </w:rPr>
        <w:t>interest of $</w:t>
      </w:r>
      <w:r w:rsidR="00082118">
        <w:rPr>
          <w:sz w:val="20"/>
        </w:rPr>
        <w:t>2</w:t>
      </w:r>
      <w:r w:rsidRPr="00F128C3">
        <w:rPr>
          <w:sz w:val="20"/>
        </w:rPr>
        <w:t>,</w:t>
      </w:r>
      <w:r w:rsidR="00082118">
        <w:rPr>
          <w:sz w:val="20"/>
        </w:rPr>
        <w:t>348</w:t>
      </w:r>
      <w:r w:rsidRPr="00F128C3">
        <w:rPr>
          <w:sz w:val="20"/>
        </w:rPr>
        <w:t xml:space="preserve"> (202</w:t>
      </w:r>
      <w:r w:rsidR="00082118">
        <w:rPr>
          <w:sz w:val="20"/>
        </w:rPr>
        <w:t>3</w:t>
      </w:r>
      <w:r w:rsidRPr="0035275C">
        <w:rPr>
          <w:sz w:val="20"/>
        </w:rPr>
        <w:t xml:space="preserve"> - $</w:t>
      </w:r>
      <w:r w:rsidR="00082118">
        <w:rPr>
          <w:sz w:val="20"/>
        </w:rPr>
        <w:t>2</w:t>
      </w:r>
      <w:r>
        <w:rPr>
          <w:sz w:val="20"/>
        </w:rPr>
        <w:t>,</w:t>
      </w:r>
      <w:r w:rsidR="00082118">
        <w:rPr>
          <w:sz w:val="20"/>
        </w:rPr>
        <w:t>976</w:t>
      </w:r>
      <w:r w:rsidRPr="0035275C">
        <w:rPr>
          <w:sz w:val="20"/>
        </w:rPr>
        <w:t>)</w:t>
      </w:r>
      <w:r>
        <w:rPr>
          <w:sz w:val="20"/>
        </w:rPr>
        <w:t xml:space="preserve"> decreased marginally over the comparative period</w:t>
      </w:r>
      <w:r w:rsidR="00082118">
        <w:rPr>
          <w:sz w:val="20"/>
        </w:rPr>
        <w:t xml:space="preserve"> as the compared processed fewer electronic payments</w:t>
      </w:r>
      <w:r>
        <w:rPr>
          <w:sz w:val="20"/>
        </w:rPr>
        <w:t>.</w:t>
      </w:r>
      <w:r w:rsidRPr="0035275C">
        <w:rPr>
          <w:sz w:val="20"/>
        </w:rPr>
        <w:t xml:space="preserve"> </w:t>
      </w:r>
    </w:p>
    <w:p w14:paraId="30AC6E4E" w14:textId="77777777" w:rsidR="009A63B6" w:rsidRPr="00A448E8" w:rsidRDefault="009A63B6" w:rsidP="009A63B6">
      <w:pPr>
        <w:pStyle w:val="BodyText"/>
        <w:tabs>
          <w:tab w:val="clear" w:pos="720"/>
        </w:tabs>
        <w:jc w:val="both"/>
        <w:rPr>
          <w:sz w:val="20"/>
        </w:rPr>
      </w:pPr>
    </w:p>
    <w:p w14:paraId="621079E1" w14:textId="2329B08F" w:rsidR="009A63B6" w:rsidRPr="00891088" w:rsidRDefault="009A63B6" w:rsidP="009A63B6">
      <w:pPr>
        <w:pStyle w:val="BodyText"/>
        <w:numPr>
          <w:ilvl w:val="0"/>
          <w:numId w:val="1"/>
        </w:numPr>
        <w:tabs>
          <w:tab w:val="clear" w:pos="720"/>
          <w:tab w:val="num" w:pos="360"/>
        </w:tabs>
        <w:ind w:left="360"/>
        <w:jc w:val="both"/>
        <w:rPr>
          <w:sz w:val="20"/>
        </w:rPr>
      </w:pPr>
      <w:r w:rsidRPr="002B7820">
        <w:rPr>
          <w:sz w:val="20"/>
        </w:rPr>
        <w:t xml:space="preserve">Consulting </w:t>
      </w:r>
      <w:r w:rsidRPr="000325A9">
        <w:rPr>
          <w:sz w:val="20"/>
        </w:rPr>
        <w:t xml:space="preserve">fees </w:t>
      </w:r>
      <w:r w:rsidRPr="00F128C3">
        <w:rPr>
          <w:sz w:val="20"/>
        </w:rPr>
        <w:t>of $</w:t>
      </w:r>
      <w:r>
        <w:rPr>
          <w:sz w:val="20"/>
        </w:rPr>
        <w:t>Nil</w:t>
      </w:r>
      <w:r w:rsidRPr="00F128C3">
        <w:rPr>
          <w:sz w:val="20"/>
        </w:rPr>
        <w:t xml:space="preserve"> (202</w:t>
      </w:r>
      <w:r w:rsidR="00082118">
        <w:rPr>
          <w:sz w:val="20"/>
        </w:rPr>
        <w:t>3</w:t>
      </w:r>
      <w:r w:rsidRPr="00E16A37">
        <w:rPr>
          <w:sz w:val="20"/>
        </w:rPr>
        <w:t xml:space="preserve"> -</w:t>
      </w:r>
      <w:r w:rsidRPr="002B7820">
        <w:rPr>
          <w:sz w:val="20"/>
        </w:rPr>
        <w:t xml:space="preserve"> $</w:t>
      </w:r>
      <w:r w:rsidR="00082118">
        <w:rPr>
          <w:sz w:val="20"/>
        </w:rPr>
        <w:t>178</w:t>
      </w:r>
      <w:r>
        <w:rPr>
          <w:sz w:val="20"/>
        </w:rPr>
        <w:t>,</w:t>
      </w:r>
      <w:r w:rsidR="00082118">
        <w:rPr>
          <w:sz w:val="20"/>
        </w:rPr>
        <w:t>036</w:t>
      </w:r>
      <w:r w:rsidRPr="002B7820">
        <w:rPr>
          <w:sz w:val="20"/>
        </w:rPr>
        <w:t xml:space="preserve">) </w:t>
      </w:r>
      <w:r>
        <w:rPr>
          <w:sz w:val="20"/>
        </w:rPr>
        <w:t xml:space="preserve">were paid to a director and former CEO of the Company. The Company did not pay any fees to directors or former directors during the current period. </w:t>
      </w:r>
    </w:p>
    <w:p w14:paraId="2D209AE2" w14:textId="77777777" w:rsidR="009A63B6" w:rsidRDefault="009A63B6" w:rsidP="009A63B6">
      <w:pPr>
        <w:pStyle w:val="BodyText"/>
        <w:tabs>
          <w:tab w:val="clear" w:pos="720"/>
        </w:tabs>
        <w:jc w:val="both"/>
        <w:rPr>
          <w:sz w:val="20"/>
        </w:rPr>
      </w:pPr>
    </w:p>
    <w:p w14:paraId="56E2AA64" w14:textId="35BA58D5" w:rsidR="009A63B6" w:rsidRDefault="009A63B6" w:rsidP="009A63B6">
      <w:pPr>
        <w:pStyle w:val="BodyText"/>
        <w:numPr>
          <w:ilvl w:val="0"/>
          <w:numId w:val="1"/>
        </w:numPr>
        <w:tabs>
          <w:tab w:val="clear" w:pos="720"/>
          <w:tab w:val="num" w:pos="360"/>
        </w:tabs>
        <w:ind w:left="360"/>
        <w:jc w:val="both"/>
        <w:rPr>
          <w:sz w:val="20"/>
        </w:rPr>
      </w:pPr>
      <w:r w:rsidRPr="00587BAF">
        <w:rPr>
          <w:sz w:val="20"/>
        </w:rPr>
        <w:t xml:space="preserve">Insurance </w:t>
      </w:r>
      <w:r w:rsidRPr="00F128C3">
        <w:rPr>
          <w:sz w:val="20"/>
        </w:rPr>
        <w:t>of $</w:t>
      </w:r>
      <w:r w:rsidR="00082118">
        <w:rPr>
          <w:sz w:val="20"/>
        </w:rPr>
        <w:t>16</w:t>
      </w:r>
      <w:r w:rsidRPr="00F128C3">
        <w:rPr>
          <w:sz w:val="20"/>
        </w:rPr>
        <w:t>,</w:t>
      </w:r>
      <w:r w:rsidR="00082118">
        <w:rPr>
          <w:sz w:val="20"/>
        </w:rPr>
        <w:t>691</w:t>
      </w:r>
      <w:r w:rsidRPr="00F128C3">
        <w:rPr>
          <w:sz w:val="20"/>
        </w:rPr>
        <w:t xml:space="preserve"> (202</w:t>
      </w:r>
      <w:r w:rsidR="00082118">
        <w:rPr>
          <w:sz w:val="20"/>
        </w:rPr>
        <w:t>3</w:t>
      </w:r>
      <w:r w:rsidRPr="00F128C3">
        <w:rPr>
          <w:sz w:val="20"/>
        </w:rPr>
        <w:t xml:space="preserve"> -</w:t>
      </w:r>
      <w:r w:rsidRPr="00587BAF">
        <w:rPr>
          <w:sz w:val="20"/>
        </w:rPr>
        <w:t xml:space="preserve"> $</w:t>
      </w:r>
      <w:r w:rsidR="00082118">
        <w:rPr>
          <w:sz w:val="20"/>
        </w:rPr>
        <w:t>15</w:t>
      </w:r>
      <w:r>
        <w:rPr>
          <w:sz w:val="20"/>
        </w:rPr>
        <w:t>,</w:t>
      </w:r>
      <w:r w:rsidR="00082118">
        <w:rPr>
          <w:sz w:val="20"/>
        </w:rPr>
        <w:t>507</w:t>
      </w:r>
      <w:r>
        <w:rPr>
          <w:sz w:val="20"/>
        </w:rPr>
        <w:t xml:space="preserve">) relates to directors and officers and general commercial liability insurance. Current period expense increased over the comparative period as the Company has spread out the payment of the insurance premium resulting in a finance charge.  </w:t>
      </w:r>
    </w:p>
    <w:p w14:paraId="50AF9372" w14:textId="77777777" w:rsidR="009A63B6" w:rsidRDefault="009A63B6" w:rsidP="009A63B6">
      <w:pPr>
        <w:pStyle w:val="ListParagraph"/>
        <w:rPr>
          <w:sz w:val="20"/>
        </w:rPr>
      </w:pPr>
    </w:p>
    <w:p w14:paraId="7AB86370" w14:textId="11C1648C" w:rsidR="009A63B6" w:rsidRDefault="009A63B6" w:rsidP="009A63B6">
      <w:pPr>
        <w:pStyle w:val="BodyText"/>
        <w:numPr>
          <w:ilvl w:val="0"/>
          <w:numId w:val="1"/>
        </w:numPr>
        <w:tabs>
          <w:tab w:val="clear" w:pos="720"/>
          <w:tab w:val="num" w:pos="360"/>
        </w:tabs>
        <w:ind w:left="360"/>
        <w:jc w:val="both"/>
        <w:rPr>
          <w:sz w:val="20"/>
        </w:rPr>
      </w:pPr>
      <w:r>
        <w:rPr>
          <w:sz w:val="20"/>
        </w:rPr>
        <w:t>Loan interest of $</w:t>
      </w:r>
      <w:r w:rsidR="00B4070C">
        <w:rPr>
          <w:sz w:val="20"/>
        </w:rPr>
        <w:t>24</w:t>
      </w:r>
      <w:r>
        <w:rPr>
          <w:sz w:val="20"/>
        </w:rPr>
        <w:t>,</w:t>
      </w:r>
      <w:r w:rsidR="00B4070C">
        <w:rPr>
          <w:sz w:val="20"/>
        </w:rPr>
        <w:t>324</w:t>
      </w:r>
      <w:r>
        <w:rPr>
          <w:sz w:val="20"/>
        </w:rPr>
        <w:t xml:space="preserve"> (202</w:t>
      </w:r>
      <w:r w:rsidR="00B4070C">
        <w:rPr>
          <w:sz w:val="20"/>
        </w:rPr>
        <w:t>3</w:t>
      </w:r>
      <w:r>
        <w:rPr>
          <w:sz w:val="20"/>
        </w:rPr>
        <w:t xml:space="preserve"> - $Nil) was accrued on loans payable to a director of the Company.  </w:t>
      </w:r>
    </w:p>
    <w:p w14:paraId="0ECBB687" w14:textId="77777777" w:rsidR="009A63B6" w:rsidRDefault="009A63B6" w:rsidP="009A63B6">
      <w:pPr>
        <w:pStyle w:val="BodyText"/>
        <w:tabs>
          <w:tab w:val="clear" w:pos="720"/>
        </w:tabs>
        <w:jc w:val="both"/>
        <w:rPr>
          <w:sz w:val="20"/>
        </w:rPr>
      </w:pPr>
    </w:p>
    <w:p w14:paraId="38260FD1" w14:textId="2E10B0BE" w:rsidR="009A63B6" w:rsidRDefault="009A63B6" w:rsidP="009A63B6">
      <w:pPr>
        <w:pStyle w:val="BodyText"/>
        <w:numPr>
          <w:ilvl w:val="0"/>
          <w:numId w:val="1"/>
        </w:numPr>
        <w:tabs>
          <w:tab w:val="clear" w:pos="720"/>
          <w:tab w:val="num" w:pos="360"/>
        </w:tabs>
        <w:ind w:left="360"/>
        <w:jc w:val="both"/>
        <w:rPr>
          <w:sz w:val="20"/>
        </w:rPr>
      </w:pPr>
      <w:r w:rsidRPr="00D126E3">
        <w:rPr>
          <w:sz w:val="20"/>
        </w:rPr>
        <w:t xml:space="preserve">Office and </w:t>
      </w:r>
      <w:r w:rsidRPr="00E307DB">
        <w:rPr>
          <w:sz w:val="20"/>
        </w:rPr>
        <w:t xml:space="preserve">general </w:t>
      </w:r>
      <w:r w:rsidRPr="00587BAF">
        <w:rPr>
          <w:sz w:val="20"/>
        </w:rPr>
        <w:t xml:space="preserve">costs of </w:t>
      </w:r>
      <w:r w:rsidRPr="0011499B">
        <w:rPr>
          <w:sz w:val="20"/>
        </w:rPr>
        <w:t>$</w:t>
      </w:r>
      <w:r w:rsidR="00B4070C">
        <w:rPr>
          <w:sz w:val="20"/>
        </w:rPr>
        <w:t>5</w:t>
      </w:r>
      <w:r w:rsidRPr="0011499B">
        <w:rPr>
          <w:sz w:val="20"/>
        </w:rPr>
        <w:t>,</w:t>
      </w:r>
      <w:r w:rsidR="00B4070C">
        <w:rPr>
          <w:sz w:val="20"/>
        </w:rPr>
        <w:t>111</w:t>
      </w:r>
      <w:r>
        <w:rPr>
          <w:sz w:val="20"/>
        </w:rPr>
        <w:t xml:space="preserve"> </w:t>
      </w:r>
      <w:r w:rsidRPr="00587BAF">
        <w:rPr>
          <w:sz w:val="20"/>
        </w:rPr>
        <w:t>(202</w:t>
      </w:r>
      <w:r w:rsidR="00B4070C">
        <w:rPr>
          <w:sz w:val="20"/>
        </w:rPr>
        <w:t>3</w:t>
      </w:r>
      <w:r w:rsidRPr="00587BAF">
        <w:rPr>
          <w:sz w:val="20"/>
        </w:rPr>
        <w:t xml:space="preserve"> - $</w:t>
      </w:r>
      <w:r w:rsidR="00B4070C">
        <w:rPr>
          <w:sz w:val="20"/>
        </w:rPr>
        <w:t>6</w:t>
      </w:r>
      <w:r w:rsidRPr="00D126E3">
        <w:rPr>
          <w:sz w:val="20"/>
        </w:rPr>
        <w:t>,</w:t>
      </w:r>
      <w:r w:rsidR="00B4070C">
        <w:rPr>
          <w:sz w:val="20"/>
        </w:rPr>
        <w:t>418</w:t>
      </w:r>
      <w:r w:rsidRPr="00D126E3">
        <w:rPr>
          <w:sz w:val="20"/>
        </w:rPr>
        <w:t>)</w:t>
      </w:r>
      <w:r>
        <w:rPr>
          <w:sz w:val="20"/>
        </w:rPr>
        <w:t xml:space="preserve"> were </w:t>
      </w:r>
      <w:proofErr w:type="gramStart"/>
      <w:r>
        <w:rPr>
          <w:sz w:val="20"/>
        </w:rPr>
        <w:t>incurred</w:t>
      </w:r>
      <w:proofErr w:type="gramEnd"/>
      <w:r>
        <w:rPr>
          <w:sz w:val="20"/>
        </w:rPr>
        <w:t xml:space="preserve"> </w:t>
      </w:r>
      <w:r w:rsidRPr="00D126E3">
        <w:rPr>
          <w:sz w:val="20"/>
        </w:rPr>
        <w:t xml:space="preserve">which include </w:t>
      </w:r>
      <w:r>
        <w:rPr>
          <w:sz w:val="20"/>
        </w:rPr>
        <w:t xml:space="preserve">costs of maintaining the Company’s </w:t>
      </w:r>
      <w:r w:rsidRPr="00D126E3">
        <w:rPr>
          <w:sz w:val="20"/>
        </w:rPr>
        <w:t>website</w:t>
      </w:r>
      <w:r>
        <w:rPr>
          <w:sz w:val="20"/>
        </w:rPr>
        <w:t>.</w:t>
      </w:r>
      <w:r w:rsidRPr="00D126E3">
        <w:rPr>
          <w:sz w:val="20"/>
        </w:rPr>
        <w:t xml:space="preserve">             </w:t>
      </w:r>
    </w:p>
    <w:p w14:paraId="2739964D" w14:textId="77777777" w:rsidR="009A63B6" w:rsidRDefault="009A63B6" w:rsidP="009A63B6">
      <w:pPr>
        <w:pStyle w:val="ListParagraph"/>
        <w:rPr>
          <w:sz w:val="20"/>
        </w:rPr>
      </w:pPr>
    </w:p>
    <w:p w14:paraId="6747C57D" w14:textId="1E3220E2" w:rsidR="009A63B6" w:rsidRPr="00FA2822" w:rsidRDefault="009A63B6" w:rsidP="009A63B6">
      <w:pPr>
        <w:pStyle w:val="BodyText"/>
        <w:numPr>
          <w:ilvl w:val="0"/>
          <w:numId w:val="1"/>
        </w:numPr>
        <w:tabs>
          <w:tab w:val="clear" w:pos="720"/>
          <w:tab w:val="num" w:pos="360"/>
        </w:tabs>
        <w:ind w:left="360"/>
        <w:jc w:val="both"/>
        <w:rPr>
          <w:sz w:val="20"/>
        </w:rPr>
      </w:pPr>
      <w:r w:rsidRPr="00926A42">
        <w:rPr>
          <w:sz w:val="20"/>
        </w:rPr>
        <w:t>Professional fees of</w:t>
      </w:r>
      <w:r w:rsidRPr="0065233E">
        <w:rPr>
          <w:sz w:val="20"/>
        </w:rPr>
        <w:t xml:space="preserve"> $</w:t>
      </w:r>
      <w:r w:rsidR="00B4070C">
        <w:rPr>
          <w:sz w:val="20"/>
        </w:rPr>
        <w:t>50</w:t>
      </w:r>
      <w:r w:rsidRPr="0011499B">
        <w:rPr>
          <w:sz w:val="20"/>
        </w:rPr>
        <w:t>,</w:t>
      </w:r>
      <w:r w:rsidR="00B4070C">
        <w:rPr>
          <w:sz w:val="20"/>
        </w:rPr>
        <w:t>497</w:t>
      </w:r>
      <w:r w:rsidRPr="0011499B">
        <w:rPr>
          <w:sz w:val="20"/>
        </w:rPr>
        <w:t xml:space="preserve"> (</w:t>
      </w:r>
      <w:r w:rsidRPr="0065233E">
        <w:rPr>
          <w:sz w:val="20"/>
        </w:rPr>
        <w:t>202</w:t>
      </w:r>
      <w:r w:rsidR="00B4070C">
        <w:rPr>
          <w:sz w:val="20"/>
        </w:rPr>
        <w:t>3</w:t>
      </w:r>
      <w:r w:rsidRPr="0065233E">
        <w:rPr>
          <w:sz w:val="20"/>
        </w:rPr>
        <w:t xml:space="preserve"> - $</w:t>
      </w:r>
      <w:r w:rsidR="00B4070C">
        <w:rPr>
          <w:sz w:val="20"/>
        </w:rPr>
        <w:t>80</w:t>
      </w:r>
      <w:r w:rsidRPr="0065233E">
        <w:rPr>
          <w:sz w:val="20"/>
        </w:rPr>
        <w:t>,</w:t>
      </w:r>
      <w:r w:rsidR="00B4070C">
        <w:rPr>
          <w:sz w:val="20"/>
        </w:rPr>
        <w:t>160</w:t>
      </w:r>
      <w:r w:rsidRPr="0065233E">
        <w:rPr>
          <w:sz w:val="20"/>
        </w:rPr>
        <w:t xml:space="preserve">) are </w:t>
      </w:r>
      <w:r w:rsidRPr="00FA2822">
        <w:rPr>
          <w:sz w:val="20"/>
        </w:rPr>
        <w:t>comprised of $</w:t>
      </w:r>
      <w:r w:rsidR="00FA2822" w:rsidRPr="00FA2822">
        <w:rPr>
          <w:sz w:val="20"/>
        </w:rPr>
        <w:t>10</w:t>
      </w:r>
      <w:r w:rsidRPr="00FA2822">
        <w:rPr>
          <w:sz w:val="20"/>
        </w:rPr>
        <w:t>,</w:t>
      </w:r>
      <w:r w:rsidR="00FA2822" w:rsidRPr="00FA2822">
        <w:rPr>
          <w:sz w:val="20"/>
        </w:rPr>
        <w:t>427</w:t>
      </w:r>
      <w:r w:rsidRPr="00FA2822">
        <w:rPr>
          <w:sz w:val="20"/>
        </w:rPr>
        <w:t xml:space="preserve"> (202</w:t>
      </w:r>
      <w:r w:rsidR="009A3D42" w:rsidRPr="00FA2822">
        <w:rPr>
          <w:sz w:val="20"/>
        </w:rPr>
        <w:t>3</w:t>
      </w:r>
      <w:r w:rsidRPr="00FA2822">
        <w:rPr>
          <w:sz w:val="20"/>
        </w:rPr>
        <w:t xml:space="preserve"> - $</w:t>
      </w:r>
      <w:r w:rsidR="00FA2822" w:rsidRPr="00FA2822">
        <w:rPr>
          <w:sz w:val="20"/>
        </w:rPr>
        <w:t>31,152</w:t>
      </w:r>
      <w:r w:rsidRPr="00FA2822">
        <w:rPr>
          <w:sz w:val="20"/>
        </w:rPr>
        <w:t>) for legal and $</w:t>
      </w:r>
      <w:r w:rsidR="00FA2822" w:rsidRPr="00FA2822">
        <w:rPr>
          <w:sz w:val="20"/>
        </w:rPr>
        <w:t>40</w:t>
      </w:r>
      <w:r w:rsidRPr="00FA2822">
        <w:rPr>
          <w:sz w:val="20"/>
        </w:rPr>
        <w:t>,</w:t>
      </w:r>
      <w:r w:rsidR="00FA2822" w:rsidRPr="00FA2822">
        <w:rPr>
          <w:sz w:val="20"/>
        </w:rPr>
        <w:t>070</w:t>
      </w:r>
      <w:r w:rsidRPr="00FA2822">
        <w:rPr>
          <w:sz w:val="20"/>
        </w:rPr>
        <w:t xml:space="preserve"> (202</w:t>
      </w:r>
      <w:r w:rsidR="009A3D42" w:rsidRPr="00FA2822">
        <w:rPr>
          <w:sz w:val="20"/>
        </w:rPr>
        <w:t>3</w:t>
      </w:r>
      <w:r w:rsidRPr="00FA2822">
        <w:rPr>
          <w:sz w:val="20"/>
        </w:rPr>
        <w:t xml:space="preserve"> - $</w:t>
      </w:r>
      <w:r w:rsidR="00FA2822" w:rsidRPr="00FA2822">
        <w:rPr>
          <w:sz w:val="20"/>
        </w:rPr>
        <w:t>49</w:t>
      </w:r>
      <w:r w:rsidRPr="00FA2822">
        <w:rPr>
          <w:sz w:val="20"/>
        </w:rPr>
        <w:t>,</w:t>
      </w:r>
      <w:r w:rsidR="00FA2822" w:rsidRPr="00FA2822">
        <w:rPr>
          <w:sz w:val="20"/>
        </w:rPr>
        <w:t>008</w:t>
      </w:r>
      <w:r w:rsidRPr="00FA2822">
        <w:rPr>
          <w:sz w:val="20"/>
        </w:rPr>
        <w:t xml:space="preserve">) for audit and accounting fees. Current period fees decreased significantly when compared to the prior comparative period due to a decrease in business activity in the Company.       </w:t>
      </w:r>
    </w:p>
    <w:p w14:paraId="47702B1F" w14:textId="77777777" w:rsidR="009A63B6" w:rsidRDefault="009A63B6" w:rsidP="009A63B6">
      <w:pPr>
        <w:pStyle w:val="BodyText"/>
        <w:tabs>
          <w:tab w:val="clear" w:pos="720"/>
        </w:tabs>
        <w:jc w:val="both"/>
        <w:rPr>
          <w:sz w:val="20"/>
        </w:rPr>
      </w:pPr>
    </w:p>
    <w:p w14:paraId="35330E84" w14:textId="7B8F5460" w:rsidR="009A63B6" w:rsidRPr="00E16A37" w:rsidRDefault="009A63B6" w:rsidP="009A63B6">
      <w:pPr>
        <w:pStyle w:val="BodyText"/>
        <w:numPr>
          <w:ilvl w:val="0"/>
          <w:numId w:val="1"/>
        </w:numPr>
        <w:tabs>
          <w:tab w:val="clear" w:pos="720"/>
          <w:tab w:val="num" w:pos="360"/>
        </w:tabs>
        <w:ind w:left="360"/>
        <w:jc w:val="both"/>
        <w:rPr>
          <w:sz w:val="20"/>
        </w:rPr>
      </w:pPr>
      <w:r w:rsidRPr="00E16A37">
        <w:rPr>
          <w:sz w:val="20"/>
        </w:rPr>
        <w:t xml:space="preserve">Property </w:t>
      </w:r>
      <w:r w:rsidRPr="000325A9">
        <w:rPr>
          <w:sz w:val="20"/>
        </w:rPr>
        <w:t xml:space="preserve">investigation </w:t>
      </w:r>
      <w:r>
        <w:rPr>
          <w:sz w:val="20"/>
        </w:rPr>
        <w:t xml:space="preserve">costs </w:t>
      </w:r>
      <w:r w:rsidRPr="0011499B">
        <w:rPr>
          <w:sz w:val="20"/>
        </w:rPr>
        <w:t>of $</w:t>
      </w:r>
      <w:r w:rsidR="009A3D42">
        <w:rPr>
          <w:sz w:val="20"/>
        </w:rPr>
        <w:t>42</w:t>
      </w:r>
      <w:r w:rsidRPr="0011499B">
        <w:rPr>
          <w:sz w:val="20"/>
        </w:rPr>
        <w:t>,</w:t>
      </w:r>
      <w:r w:rsidR="009A3D42">
        <w:rPr>
          <w:sz w:val="20"/>
        </w:rPr>
        <w:t>082</w:t>
      </w:r>
      <w:r w:rsidRPr="0011499B">
        <w:rPr>
          <w:sz w:val="20"/>
        </w:rPr>
        <w:t xml:space="preserve"> (</w:t>
      </w:r>
      <w:r w:rsidRPr="00D96A2B">
        <w:rPr>
          <w:sz w:val="20"/>
        </w:rPr>
        <w:t>202</w:t>
      </w:r>
      <w:r w:rsidR="009A3D42">
        <w:rPr>
          <w:sz w:val="20"/>
        </w:rPr>
        <w:t>3</w:t>
      </w:r>
      <w:r w:rsidRPr="00E16A37">
        <w:rPr>
          <w:sz w:val="20"/>
        </w:rPr>
        <w:t xml:space="preserve"> - $</w:t>
      </w:r>
      <w:r w:rsidR="009A3D42">
        <w:rPr>
          <w:sz w:val="20"/>
        </w:rPr>
        <w:t>455</w:t>
      </w:r>
      <w:r>
        <w:rPr>
          <w:sz w:val="20"/>
        </w:rPr>
        <w:t>)</w:t>
      </w:r>
      <w:r w:rsidRPr="00E16A37">
        <w:rPr>
          <w:sz w:val="20"/>
        </w:rPr>
        <w:t xml:space="preserve"> relate to costs incurred to investigate potential mineral property acquisitions.</w:t>
      </w:r>
    </w:p>
    <w:p w14:paraId="02C0B805" w14:textId="77777777" w:rsidR="009A63B6" w:rsidRPr="00F2294B" w:rsidRDefault="009A63B6" w:rsidP="009A63B6">
      <w:pPr>
        <w:pStyle w:val="BodyText"/>
        <w:tabs>
          <w:tab w:val="clear" w:pos="720"/>
        </w:tabs>
        <w:jc w:val="both"/>
        <w:rPr>
          <w:sz w:val="20"/>
        </w:rPr>
      </w:pPr>
    </w:p>
    <w:p w14:paraId="36605808" w14:textId="2FDE7406" w:rsidR="009A63B6" w:rsidRPr="004155BE" w:rsidRDefault="009A63B6" w:rsidP="009A63B6">
      <w:pPr>
        <w:pStyle w:val="BodyText"/>
        <w:numPr>
          <w:ilvl w:val="0"/>
          <w:numId w:val="1"/>
        </w:numPr>
        <w:tabs>
          <w:tab w:val="clear" w:pos="720"/>
          <w:tab w:val="num" w:pos="360"/>
        </w:tabs>
        <w:ind w:left="360"/>
        <w:jc w:val="both"/>
        <w:rPr>
          <w:sz w:val="20"/>
        </w:rPr>
      </w:pPr>
      <w:r w:rsidRPr="006A4547">
        <w:rPr>
          <w:sz w:val="20"/>
        </w:rPr>
        <w:lastRenderedPageBreak/>
        <w:t xml:space="preserve">Registration and filing </w:t>
      </w:r>
      <w:r w:rsidRPr="00D96A2B">
        <w:rPr>
          <w:sz w:val="20"/>
        </w:rPr>
        <w:t xml:space="preserve">fees </w:t>
      </w:r>
      <w:r w:rsidRPr="0011499B">
        <w:rPr>
          <w:sz w:val="20"/>
        </w:rPr>
        <w:t>of $</w:t>
      </w:r>
      <w:r w:rsidR="009A3D42">
        <w:rPr>
          <w:sz w:val="20"/>
        </w:rPr>
        <w:t>24,307</w:t>
      </w:r>
      <w:r w:rsidRPr="0011499B">
        <w:rPr>
          <w:sz w:val="20"/>
        </w:rPr>
        <w:t xml:space="preserve"> (202</w:t>
      </w:r>
      <w:r w:rsidR="009A3D42">
        <w:rPr>
          <w:sz w:val="20"/>
        </w:rPr>
        <w:t>3</w:t>
      </w:r>
      <w:r w:rsidRPr="00DA024D">
        <w:rPr>
          <w:sz w:val="20"/>
        </w:rPr>
        <w:t xml:space="preserve"> - $</w:t>
      </w:r>
      <w:r w:rsidR="009A3D42">
        <w:rPr>
          <w:sz w:val="20"/>
        </w:rPr>
        <w:t>21</w:t>
      </w:r>
      <w:r>
        <w:rPr>
          <w:sz w:val="20"/>
        </w:rPr>
        <w:t>,</w:t>
      </w:r>
      <w:r w:rsidR="009A3D42">
        <w:rPr>
          <w:sz w:val="20"/>
        </w:rPr>
        <w:t>296</w:t>
      </w:r>
      <w:r>
        <w:rPr>
          <w:sz w:val="20"/>
        </w:rPr>
        <w:t>)</w:t>
      </w:r>
      <w:r w:rsidRPr="00F2294B">
        <w:rPr>
          <w:sz w:val="20"/>
        </w:rPr>
        <w:t xml:space="preserve"> consist of ongoing regulatory fees associated with maintaining public company profile and status.</w:t>
      </w:r>
      <w:r>
        <w:rPr>
          <w:sz w:val="20"/>
        </w:rPr>
        <w:t xml:space="preserve">  </w:t>
      </w:r>
      <w:r w:rsidRPr="004155BE">
        <w:rPr>
          <w:sz w:val="20"/>
        </w:rPr>
        <w:t xml:space="preserve">     </w:t>
      </w:r>
    </w:p>
    <w:p w14:paraId="291DF7F0" w14:textId="77777777" w:rsidR="009A63B6" w:rsidRPr="00BE6416" w:rsidRDefault="009A63B6" w:rsidP="009A63B6">
      <w:pPr>
        <w:pStyle w:val="BodyText"/>
        <w:tabs>
          <w:tab w:val="clear" w:pos="720"/>
        </w:tabs>
        <w:ind w:left="360"/>
        <w:jc w:val="both"/>
        <w:rPr>
          <w:sz w:val="20"/>
        </w:rPr>
      </w:pPr>
    </w:p>
    <w:p w14:paraId="7DBD722C" w14:textId="3D35C149" w:rsidR="009A63B6" w:rsidRPr="009A3D42" w:rsidRDefault="009A63B6" w:rsidP="009A63B6">
      <w:pPr>
        <w:pStyle w:val="BodyText"/>
        <w:numPr>
          <w:ilvl w:val="0"/>
          <w:numId w:val="1"/>
        </w:numPr>
        <w:tabs>
          <w:tab w:val="clear" w:pos="720"/>
          <w:tab w:val="num" w:pos="360"/>
        </w:tabs>
        <w:ind w:left="360"/>
        <w:jc w:val="both"/>
        <w:rPr>
          <w:sz w:val="20"/>
        </w:rPr>
      </w:pPr>
      <w:r w:rsidRPr="009A3D42">
        <w:rPr>
          <w:sz w:val="20"/>
        </w:rPr>
        <w:t>Shareholder costs of $</w:t>
      </w:r>
      <w:r w:rsidR="009A3D42" w:rsidRPr="009A3D42">
        <w:rPr>
          <w:sz w:val="20"/>
        </w:rPr>
        <w:t>22</w:t>
      </w:r>
      <w:r w:rsidRPr="009A3D42">
        <w:rPr>
          <w:sz w:val="20"/>
        </w:rPr>
        <w:t>,</w:t>
      </w:r>
      <w:r w:rsidR="009A3D42" w:rsidRPr="009A3D42">
        <w:rPr>
          <w:sz w:val="20"/>
        </w:rPr>
        <w:t>871</w:t>
      </w:r>
      <w:r w:rsidRPr="009A3D42">
        <w:rPr>
          <w:sz w:val="20"/>
        </w:rPr>
        <w:t xml:space="preserve"> (202</w:t>
      </w:r>
      <w:r w:rsidR="009A3D42" w:rsidRPr="009A3D42">
        <w:rPr>
          <w:sz w:val="20"/>
        </w:rPr>
        <w:t>3</w:t>
      </w:r>
      <w:r w:rsidRPr="009A3D42">
        <w:rPr>
          <w:sz w:val="20"/>
        </w:rPr>
        <w:t xml:space="preserve"> - $</w:t>
      </w:r>
      <w:r w:rsidR="009A3D42" w:rsidRPr="009A3D42">
        <w:rPr>
          <w:sz w:val="20"/>
        </w:rPr>
        <w:t>13</w:t>
      </w:r>
      <w:r w:rsidRPr="009A3D42">
        <w:rPr>
          <w:sz w:val="20"/>
        </w:rPr>
        <w:t>,</w:t>
      </w:r>
      <w:r w:rsidR="009A3D42" w:rsidRPr="009A3D42">
        <w:rPr>
          <w:sz w:val="20"/>
        </w:rPr>
        <w:t>989</w:t>
      </w:r>
      <w:r w:rsidRPr="009A3D42">
        <w:rPr>
          <w:sz w:val="20"/>
        </w:rPr>
        <w:t xml:space="preserve">) are related to the dissemination of AGM materials, press releases and other information. The current period costs are higher due to the </w:t>
      </w:r>
      <w:r w:rsidR="009A3D42" w:rsidRPr="009A3D42">
        <w:rPr>
          <w:sz w:val="20"/>
        </w:rPr>
        <w:t>Company’s legal counsel coordinating and setting up the AGM for the current period</w:t>
      </w:r>
      <w:r w:rsidRPr="009A3D42">
        <w:rPr>
          <w:sz w:val="20"/>
        </w:rPr>
        <w:t xml:space="preserve">.      </w:t>
      </w:r>
    </w:p>
    <w:p w14:paraId="67D206D5" w14:textId="77777777" w:rsidR="009A63B6" w:rsidRPr="00594303" w:rsidRDefault="009A63B6" w:rsidP="009A63B6">
      <w:pPr>
        <w:pStyle w:val="BodyText"/>
        <w:tabs>
          <w:tab w:val="clear" w:pos="720"/>
        </w:tabs>
        <w:jc w:val="both"/>
        <w:rPr>
          <w:sz w:val="20"/>
          <w:highlight w:val="yellow"/>
        </w:rPr>
      </w:pPr>
    </w:p>
    <w:p w14:paraId="1577292E" w14:textId="24852E96" w:rsidR="009A3D42" w:rsidRDefault="009A63B6" w:rsidP="009A63B6">
      <w:pPr>
        <w:pStyle w:val="BodyText"/>
        <w:numPr>
          <w:ilvl w:val="0"/>
          <w:numId w:val="1"/>
        </w:numPr>
        <w:tabs>
          <w:tab w:val="clear" w:pos="720"/>
          <w:tab w:val="num" w:pos="360"/>
        </w:tabs>
        <w:ind w:left="360"/>
        <w:jc w:val="both"/>
        <w:rPr>
          <w:sz w:val="20"/>
        </w:rPr>
      </w:pPr>
      <w:r w:rsidRPr="000314F0">
        <w:rPr>
          <w:sz w:val="20"/>
        </w:rPr>
        <w:t xml:space="preserve">Share-based </w:t>
      </w:r>
      <w:r w:rsidRPr="00D64BBD">
        <w:rPr>
          <w:sz w:val="20"/>
        </w:rPr>
        <w:t>compensation</w:t>
      </w:r>
      <w:r>
        <w:rPr>
          <w:sz w:val="20"/>
        </w:rPr>
        <w:t>, a non</w:t>
      </w:r>
      <w:r w:rsidRPr="00DA024D">
        <w:rPr>
          <w:sz w:val="20"/>
        </w:rPr>
        <w:t>-</w:t>
      </w:r>
      <w:r w:rsidRPr="00BC09F8">
        <w:rPr>
          <w:sz w:val="20"/>
        </w:rPr>
        <w:t xml:space="preserve">cash </w:t>
      </w:r>
      <w:r w:rsidRPr="000325A9">
        <w:rPr>
          <w:sz w:val="20"/>
        </w:rPr>
        <w:t xml:space="preserve">expense, </w:t>
      </w:r>
      <w:r w:rsidRPr="0011499B">
        <w:rPr>
          <w:sz w:val="20"/>
        </w:rPr>
        <w:t>of $</w:t>
      </w:r>
      <w:r>
        <w:rPr>
          <w:sz w:val="20"/>
        </w:rPr>
        <w:t>246</w:t>
      </w:r>
      <w:r w:rsidRPr="0011499B">
        <w:rPr>
          <w:sz w:val="20"/>
        </w:rPr>
        <w:t xml:space="preserve"> (202</w:t>
      </w:r>
      <w:r w:rsidR="009A3D42">
        <w:rPr>
          <w:sz w:val="20"/>
        </w:rPr>
        <w:t>3</w:t>
      </w:r>
      <w:r w:rsidRPr="00E307DB">
        <w:rPr>
          <w:sz w:val="20"/>
        </w:rPr>
        <w:t xml:space="preserve"> - $</w:t>
      </w:r>
      <w:r w:rsidR="009A3D42">
        <w:rPr>
          <w:sz w:val="20"/>
        </w:rPr>
        <w:t>54</w:t>
      </w:r>
      <w:r>
        <w:rPr>
          <w:sz w:val="20"/>
        </w:rPr>
        <w:t>,</w:t>
      </w:r>
      <w:r w:rsidR="009A3D42">
        <w:rPr>
          <w:sz w:val="20"/>
        </w:rPr>
        <w:t>528</w:t>
      </w:r>
      <w:r>
        <w:rPr>
          <w:sz w:val="20"/>
        </w:rPr>
        <w:t>)</w:t>
      </w:r>
      <w:r w:rsidRPr="000314F0">
        <w:rPr>
          <w:sz w:val="20"/>
        </w:rPr>
        <w:t xml:space="preserve"> </w:t>
      </w:r>
      <w:r>
        <w:rPr>
          <w:sz w:val="20"/>
        </w:rPr>
        <w:t xml:space="preserve">was recognized </w:t>
      </w:r>
      <w:r w:rsidRPr="000314F0">
        <w:rPr>
          <w:sz w:val="20"/>
        </w:rPr>
        <w:t xml:space="preserve">on stock options that vested </w:t>
      </w:r>
      <w:r w:rsidRPr="00DA024D">
        <w:rPr>
          <w:sz w:val="20"/>
        </w:rPr>
        <w:t xml:space="preserve">during the </w:t>
      </w:r>
      <w:r>
        <w:rPr>
          <w:sz w:val="20"/>
        </w:rPr>
        <w:t>period</w:t>
      </w:r>
      <w:r w:rsidRPr="00DA024D">
        <w:rPr>
          <w:sz w:val="20"/>
        </w:rPr>
        <w:t xml:space="preserve">. </w:t>
      </w:r>
    </w:p>
    <w:p w14:paraId="7F5CF52A" w14:textId="24A4A8AC" w:rsidR="009A63B6" w:rsidRPr="00DA024D" w:rsidRDefault="009A63B6" w:rsidP="009A3D42">
      <w:pPr>
        <w:pStyle w:val="ListParagraph"/>
        <w:rPr>
          <w:sz w:val="20"/>
        </w:rPr>
      </w:pPr>
      <w:r w:rsidRPr="00DA024D">
        <w:rPr>
          <w:sz w:val="20"/>
        </w:rPr>
        <w:t xml:space="preserve">  </w:t>
      </w:r>
    </w:p>
    <w:p w14:paraId="2C3639A8" w14:textId="36596503" w:rsidR="009A63B6" w:rsidRPr="00E86693" w:rsidRDefault="009A63B6" w:rsidP="009A63B6">
      <w:pPr>
        <w:pStyle w:val="BodyText"/>
        <w:numPr>
          <w:ilvl w:val="0"/>
          <w:numId w:val="1"/>
        </w:numPr>
        <w:tabs>
          <w:tab w:val="clear" w:pos="720"/>
          <w:tab w:val="num" w:pos="360"/>
        </w:tabs>
        <w:ind w:left="360"/>
        <w:jc w:val="both"/>
        <w:rPr>
          <w:sz w:val="20"/>
        </w:rPr>
      </w:pPr>
      <w:r w:rsidRPr="007835FB">
        <w:rPr>
          <w:sz w:val="20"/>
        </w:rPr>
        <w:t xml:space="preserve">Transfer </w:t>
      </w:r>
      <w:r w:rsidRPr="00D96A2B">
        <w:rPr>
          <w:sz w:val="20"/>
        </w:rPr>
        <w:t xml:space="preserve">agent fees of </w:t>
      </w:r>
      <w:r w:rsidRPr="0011499B">
        <w:rPr>
          <w:sz w:val="20"/>
        </w:rPr>
        <w:t>$</w:t>
      </w:r>
      <w:r w:rsidR="009A3D42">
        <w:rPr>
          <w:sz w:val="20"/>
        </w:rPr>
        <w:t>3,886</w:t>
      </w:r>
      <w:r w:rsidRPr="0011499B">
        <w:rPr>
          <w:sz w:val="20"/>
        </w:rPr>
        <w:t xml:space="preserve"> (202</w:t>
      </w:r>
      <w:r w:rsidR="009A3D42">
        <w:rPr>
          <w:sz w:val="20"/>
        </w:rPr>
        <w:t>3</w:t>
      </w:r>
      <w:r w:rsidRPr="00D96A2B">
        <w:rPr>
          <w:sz w:val="20"/>
        </w:rPr>
        <w:t xml:space="preserve"> -</w:t>
      </w:r>
      <w:r w:rsidRPr="00E307DB">
        <w:rPr>
          <w:sz w:val="20"/>
        </w:rPr>
        <w:t xml:space="preserve"> $</w:t>
      </w:r>
      <w:r w:rsidR="009A3D42">
        <w:rPr>
          <w:sz w:val="20"/>
        </w:rPr>
        <w:t>5,271</w:t>
      </w:r>
      <w:r w:rsidRPr="00E86693">
        <w:rPr>
          <w:sz w:val="20"/>
        </w:rPr>
        <w:t>)</w:t>
      </w:r>
      <w:r>
        <w:rPr>
          <w:sz w:val="20"/>
        </w:rPr>
        <w:t xml:space="preserve"> decreased over the comparative period due to a transition to a new transfer agent which provided services at a lower cost.</w:t>
      </w:r>
      <w:r w:rsidRPr="00E86693">
        <w:rPr>
          <w:sz w:val="20"/>
        </w:rPr>
        <w:t xml:space="preserve">   </w:t>
      </w:r>
    </w:p>
    <w:p w14:paraId="374E9D00" w14:textId="77777777" w:rsidR="009A63B6" w:rsidRPr="007835FB" w:rsidRDefault="009A63B6" w:rsidP="009A63B6">
      <w:pPr>
        <w:pStyle w:val="BodyText"/>
        <w:tabs>
          <w:tab w:val="clear" w:pos="720"/>
        </w:tabs>
        <w:ind w:left="767"/>
        <w:jc w:val="both"/>
        <w:rPr>
          <w:sz w:val="20"/>
        </w:rPr>
      </w:pPr>
    </w:p>
    <w:p w14:paraId="5DE9E0F7" w14:textId="559A62DC" w:rsidR="009A63B6" w:rsidRDefault="009A63B6" w:rsidP="009A63B6">
      <w:pPr>
        <w:pStyle w:val="BodyText"/>
        <w:numPr>
          <w:ilvl w:val="0"/>
          <w:numId w:val="1"/>
        </w:numPr>
        <w:tabs>
          <w:tab w:val="clear" w:pos="720"/>
          <w:tab w:val="num" w:pos="360"/>
        </w:tabs>
        <w:ind w:left="360"/>
        <w:jc w:val="both"/>
        <w:rPr>
          <w:sz w:val="20"/>
        </w:rPr>
      </w:pPr>
      <w:r w:rsidRPr="00B66352">
        <w:rPr>
          <w:sz w:val="20"/>
        </w:rPr>
        <w:t>Travel and related costs of $66</w:t>
      </w:r>
      <w:r w:rsidR="009A3D42">
        <w:rPr>
          <w:sz w:val="20"/>
        </w:rPr>
        <w:t>6</w:t>
      </w:r>
      <w:r w:rsidRPr="00B66352">
        <w:rPr>
          <w:sz w:val="20"/>
        </w:rPr>
        <w:t xml:space="preserve"> (202</w:t>
      </w:r>
      <w:r w:rsidR="009A3D42">
        <w:rPr>
          <w:sz w:val="20"/>
        </w:rPr>
        <w:t>3</w:t>
      </w:r>
      <w:r w:rsidRPr="00B66352">
        <w:rPr>
          <w:sz w:val="20"/>
        </w:rPr>
        <w:t xml:space="preserve"> - $7,</w:t>
      </w:r>
      <w:r w:rsidR="009A3D42">
        <w:rPr>
          <w:sz w:val="20"/>
        </w:rPr>
        <w:t>559</w:t>
      </w:r>
      <w:r w:rsidRPr="00B66352">
        <w:rPr>
          <w:sz w:val="20"/>
        </w:rPr>
        <w:t xml:space="preserve">) relate to directors, officers and consultants travelling to attend investment conferences, increase investor awareness of the Company’s projects and to evaluate potential investment opportunities for the Company. </w:t>
      </w:r>
      <w:r>
        <w:rPr>
          <w:sz w:val="20"/>
        </w:rPr>
        <w:t xml:space="preserve">Current period costs decreased due to the Company’s efforts to conserve its capital resources.  </w:t>
      </w:r>
    </w:p>
    <w:p w14:paraId="70684702" w14:textId="77777777" w:rsidR="009A63B6" w:rsidRDefault="009A63B6" w:rsidP="009A63B6">
      <w:pPr>
        <w:pStyle w:val="BodyText"/>
        <w:tabs>
          <w:tab w:val="clear" w:pos="720"/>
        </w:tabs>
        <w:jc w:val="both"/>
        <w:rPr>
          <w:sz w:val="20"/>
        </w:rPr>
      </w:pPr>
    </w:p>
    <w:p w14:paraId="6B790B6A" w14:textId="24F805A6" w:rsidR="009A63B6" w:rsidRDefault="009A63B6" w:rsidP="009A63B6">
      <w:pPr>
        <w:pStyle w:val="BodyText"/>
        <w:numPr>
          <w:ilvl w:val="0"/>
          <w:numId w:val="1"/>
        </w:numPr>
        <w:tabs>
          <w:tab w:val="clear" w:pos="720"/>
          <w:tab w:val="num" w:pos="360"/>
        </w:tabs>
        <w:ind w:left="360"/>
        <w:jc w:val="both"/>
        <w:rPr>
          <w:sz w:val="20"/>
        </w:rPr>
      </w:pPr>
      <w:r w:rsidRPr="009E45FC">
        <w:rPr>
          <w:sz w:val="20"/>
        </w:rPr>
        <w:t>The Company had a foreign exchange</w:t>
      </w:r>
      <w:r>
        <w:rPr>
          <w:sz w:val="20"/>
        </w:rPr>
        <w:t xml:space="preserve"> loss </w:t>
      </w:r>
      <w:r w:rsidRPr="00D96A2B">
        <w:rPr>
          <w:sz w:val="20"/>
        </w:rPr>
        <w:t xml:space="preserve">of </w:t>
      </w:r>
      <w:r w:rsidRPr="0011499B">
        <w:rPr>
          <w:sz w:val="20"/>
        </w:rPr>
        <w:t>$</w:t>
      </w:r>
      <w:r w:rsidR="009A3D42">
        <w:rPr>
          <w:sz w:val="20"/>
        </w:rPr>
        <w:t>10</w:t>
      </w:r>
      <w:r>
        <w:rPr>
          <w:sz w:val="20"/>
        </w:rPr>
        <w:t>,</w:t>
      </w:r>
      <w:r w:rsidR="009A3D42">
        <w:rPr>
          <w:sz w:val="20"/>
        </w:rPr>
        <w:t>723</w:t>
      </w:r>
      <w:r w:rsidRPr="0011499B">
        <w:rPr>
          <w:sz w:val="20"/>
        </w:rPr>
        <w:t xml:space="preserve"> (202</w:t>
      </w:r>
      <w:r w:rsidR="009A3D42">
        <w:rPr>
          <w:sz w:val="20"/>
        </w:rPr>
        <w:t>3</w:t>
      </w:r>
      <w:r w:rsidRPr="008E14BF">
        <w:rPr>
          <w:sz w:val="20"/>
        </w:rPr>
        <w:t xml:space="preserve"> </w:t>
      </w:r>
      <w:r>
        <w:rPr>
          <w:sz w:val="20"/>
        </w:rPr>
        <w:t>–</w:t>
      </w:r>
      <w:r w:rsidRPr="008E14BF">
        <w:rPr>
          <w:sz w:val="20"/>
        </w:rPr>
        <w:t xml:space="preserve"> </w:t>
      </w:r>
      <w:r>
        <w:rPr>
          <w:sz w:val="20"/>
        </w:rPr>
        <w:t xml:space="preserve">gain of </w:t>
      </w:r>
      <w:r w:rsidRPr="008E14BF">
        <w:rPr>
          <w:sz w:val="20"/>
        </w:rPr>
        <w:t>$</w:t>
      </w:r>
      <w:r w:rsidR="009A3D42">
        <w:rPr>
          <w:sz w:val="20"/>
        </w:rPr>
        <w:t>45</w:t>
      </w:r>
      <w:r>
        <w:rPr>
          <w:sz w:val="20"/>
        </w:rPr>
        <w:t>,</w:t>
      </w:r>
      <w:r w:rsidR="009A3D42">
        <w:rPr>
          <w:sz w:val="20"/>
        </w:rPr>
        <w:t>480</w:t>
      </w:r>
      <w:r>
        <w:rPr>
          <w:sz w:val="20"/>
        </w:rPr>
        <w:t xml:space="preserve">) </w:t>
      </w:r>
      <w:r w:rsidRPr="00F637F5">
        <w:rPr>
          <w:sz w:val="20"/>
        </w:rPr>
        <w:t>related</w:t>
      </w:r>
      <w:r>
        <w:rPr>
          <w:sz w:val="20"/>
        </w:rPr>
        <w:t xml:space="preserve"> to the conversion of various transactions in US Dollars and Swiss Francs to Canadian Dollars. </w:t>
      </w:r>
      <w:r w:rsidRPr="009E45FC">
        <w:rPr>
          <w:sz w:val="20"/>
        </w:rPr>
        <w:t xml:space="preserve"> </w:t>
      </w:r>
    </w:p>
    <w:p w14:paraId="1DB7CCBC" w14:textId="77777777" w:rsidR="009A63B6" w:rsidRDefault="009A63B6" w:rsidP="009A63B6">
      <w:pPr>
        <w:pStyle w:val="ListParagraph"/>
        <w:rPr>
          <w:sz w:val="20"/>
        </w:rPr>
      </w:pPr>
    </w:p>
    <w:p w14:paraId="2F35F914" w14:textId="591A0241" w:rsidR="009A63B6" w:rsidRDefault="009A63B6" w:rsidP="009A63B6">
      <w:pPr>
        <w:pStyle w:val="BodyText"/>
        <w:numPr>
          <w:ilvl w:val="0"/>
          <w:numId w:val="1"/>
        </w:numPr>
        <w:tabs>
          <w:tab w:val="clear" w:pos="720"/>
          <w:tab w:val="num" w:pos="360"/>
        </w:tabs>
        <w:ind w:left="360"/>
        <w:jc w:val="both"/>
        <w:rPr>
          <w:sz w:val="20"/>
        </w:rPr>
      </w:pPr>
      <w:r w:rsidRPr="00E307DB">
        <w:rPr>
          <w:sz w:val="20"/>
        </w:rPr>
        <w:t xml:space="preserve">Interest </w:t>
      </w:r>
      <w:r w:rsidRPr="0011499B">
        <w:rPr>
          <w:sz w:val="20"/>
        </w:rPr>
        <w:t>income of $</w:t>
      </w:r>
      <w:r w:rsidR="009A3D42">
        <w:rPr>
          <w:sz w:val="20"/>
        </w:rPr>
        <w:t>70</w:t>
      </w:r>
      <w:r w:rsidRPr="0011499B">
        <w:rPr>
          <w:sz w:val="20"/>
        </w:rPr>
        <w:t xml:space="preserve"> (202</w:t>
      </w:r>
      <w:r w:rsidR="009A3D42">
        <w:rPr>
          <w:sz w:val="20"/>
        </w:rPr>
        <w:t>3</w:t>
      </w:r>
      <w:r w:rsidRPr="00E307DB">
        <w:rPr>
          <w:sz w:val="20"/>
        </w:rPr>
        <w:t xml:space="preserve"> - $</w:t>
      </w:r>
      <w:r w:rsidR="009A3D42">
        <w:rPr>
          <w:sz w:val="20"/>
        </w:rPr>
        <w:t>8</w:t>
      </w:r>
      <w:r>
        <w:rPr>
          <w:sz w:val="20"/>
        </w:rPr>
        <w:t>,</w:t>
      </w:r>
      <w:r w:rsidR="009A3D42">
        <w:rPr>
          <w:sz w:val="20"/>
        </w:rPr>
        <w:t>355</w:t>
      </w:r>
      <w:r w:rsidRPr="00E307DB">
        <w:rPr>
          <w:sz w:val="20"/>
        </w:rPr>
        <w:t>) is earned</w:t>
      </w:r>
      <w:r>
        <w:rPr>
          <w:sz w:val="20"/>
        </w:rPr>
        <w:t xml:space="preserve"> on excess funds invested in short term guaranteed investment certificates. </w:t>
      </w:r>
    </w:p>
    <w:p w14:paraId="44A13142" w14:textId="77777777" w:rsidR="009A63B6" w:rsidRDefault="009A63B6" w:rsidP="009A63B6">
      <w:pPr>
        <w:pStyle w:val="ListParagraph"/>
        <w:rPr>
          <w:sz w:val="20"/>
        </w:rPr>
      </w:pPr>
    </w:p>
    <w:p w14:paraId="76EB8545" w14:textId="74889677" w:rsidR="009A63B6" w:rsidRDefault="009A63B6" w:rsidP="009A63B6">
      <w:pPr>
        <w:pStyle w:val="BodyText"/>
        <w:numPr>
          <w:ilvl w:val="0"/>
          <w:numId w:val="1"/>
        </w:numPr>
        <w:tabs>
          <w:tab w:val="clear" w:pos="720"/>
          <w:tab w:val="num" w:pos="360"/>
        </w:tabs>
        <w:ind w:left="360"/>
        <w:jc w:val="both"/>
        <w:rPr>
          <w:sz w:val="20"/>
        </w:rPr>
      </w:pPr>
      <w:r>
        <w:rPr>
          <w:sz w:val="20"/>
        </w:rPr>
        <w:t xml:space="preserve">Other income of </w:t>
      </w:r>
      <w:r w:rsidRPr="00D96A2B">
        <w:rPr>
          <w:sz w:val="20"/>
        </w:rPr>
        <w:t>$</w:t>
      </w:r>
      <w:r>
        <w:rPr>
          <w:sz w:val="20"/>
        </w:rPr>
        <w:t xml:space="preserve">Nil </w:t>
      </w:r>
      <w:r w:rsidRPr="00657132">
        <w:rPr>
          <w:sz w:val="20"/>
        </w:rPr>
        <w:t>(202</w:t>
      </w:r>
      <w:r w:rsidR="009A3D42">
        <w:rPr>
          <w:sz w:val="20"/>
        </w:rPr>
        <w:t>3</w:t>
      </w:r>
      <w:r w:rsidRPr="00657132">
        <w:rPr>
          <w:sz w:val="20"/>
        </w:rPr>
        <w:t xml:space="preserve"> - $</w:t>
      </w:r>
      <w:r>
        <w:rPr>
          <w:sz w:val="20"/>
        </w:rPr>
        <w:t>63,850</w:t>
      </w:r>
      <w:r w:rsidRPr="00657132">
        <w:rPr>
          <w:sz w:val="20"/>
        </w:rPr>
        <w:t>)</w:t>
      </w:r>
      <w:r>
        <w:rPr>
          <w:sz w:val="20"/>
        </w:rPr>
        <w:t xml:space="preserve"> </w:t>
      </w:r>
      <w:r w:rsidRPr="008A13E8">
        <w:rPr>
          <w:sz w:val="20"/>
        </w:rPr>
        <w:t xml:space="preserve">relating to </w:t>
      </w:r>
      <w:r w:rsidRPr="00384C9C">
        <w:rPr>
          <w:sz w:val="20"/>
        </w:rPr>
        <w:t xml:space="preserve">a net tax </w:t>
      </w:r>
      <w:r>
        <w:rPr>
          <w:sz w:val="20"/>
        </w:rPr>
        <w:t xml:space="preserve">credit </w:t>
      </w:r>
      <w:r w:rsidRPr="00384C9C">
        <w:rPr>
          <w:sz w:val="20"/>
        </w:rPr>
        <w:t>refund from Canada Revenue Agency from the assessment of prior fiscal years.</w:t>
      </w:r>
      <w:r w:rsidRPr="008A13E8">
        <w:rPr>
          <w:sz w:val="20"/>
        </w:rPr>
        <w:t xml:space="preserve"> </w:t>
      </w:r>
    </w:p>
    <w:p w14:paraId="6207A7CA" w14:textId="77777777" w:rsidR="009A3D42" w:rsidRDefault="009A3D42" w:rsidP="009A3D42">
      <w:pPr>
        <w:pStyle w:val="ListParagraph"/>
        <w:rPr>
          <w:sz w:val="20"/>
        </w:rPr>
      </w:pPr>
    </w:p>
    <w:p w14:paraId="456F8329" w14:textId="205BD6B1" w:rsidR="009A3D42" w:rsidRDefault="009A3D42" w:rsidP="009A63B6">
      <w:pPr>
        <w:pStyle w:val="BodyText"/>
        <w:numPr>
          <w:ilvl w:val="0"/>
          <w:numId w:val="1"/>
        </w:numPr>
        <w:tabs>
          <w:tab w:val="clear" w:pos="720"/>
          <w:tab w:val="num" w:pos="360"/>
        </w:tabs>
        <w:ind w:left="360"/>
        <w:jc w:val="both"/>
        <w:rPr>
          <w:sz w:val="20"/>
        </w:rPr>
      </w:pPr>
      <w:r>
        <w:rPr>
          <w:sz w:val="20"/>
        </w:rPr>
        <w:t>Gain on recovery of exploration and evaluation costs of $Nil (2023 - $12,082).</w:t>
      </w:r>
    </w:p>
    <w:p w14:paraId="68291EC9" w14:textId="77777777" w:rsidR="009A63B6" w:rsidRDefault="009A63B6" w:rsidP="006D2BA9">
      <w:pPr>
        <w:jc w:val="both"/>
        <w:rPr>
          <w:b/>
          <w:i/>
        </w:rPr>
      </w:pPr>
    </w:p>
    <w:p w14:paraId="636F6868" w14:textId="77777777" w:rsidR="009A63B6" w:rsidRDefault="009A63B6" w:rsidP="006D2BA9">
      <w:pPr>
        <w:jc w:val="both"/>
        <w:rPr>
          <w:b/>
          <w:i/>
        </w:rPr>
      </w:pPr>
    </w:p>
    <w:p w14:paraId="638C831B" w14:textId="246C0597" w:rsidR="00910060" w:rsidRPr="00543A92" w:rsidRDefault="009540FE" w:rsidP="006D2BA9">
      <w:pPr>
        <w:jc w:val="both"/>
      </w:pPr>
      <w:r w:rsidRPr="005C598C">
        <w:rPr>
          <w:b/>
          <w:i/>
        </w:rPr>
        <w:t xml:space="preserve">Three month period ended </w:t>
      </w:r>
      <w:r w:rsidR="00F568AE" w:rsidRPr="005C598C">
        <w:rPr>
          <w:b/>
          <w:i/>
        </w:rPr>
        <w:t>February</w:t>
      </w:r>
      <w:r w:rsidR="00682F4B" w:rsidRPr="005C598C">
        <w:rPr>
          <w:b/>
          <w:i/>
        </w:rPr>
        <w:t xml:space="preserve"> </w:t>
      </w:r>
      <w:r w:rsidR="00F568AE" w:rsidRPr="005C598C">
        <w:rPr>
          <w:b/>
          <w:i/>
        </w:rPr>
        <w:t>29</w:t>
      </w:r>
      <w:r w:rsidR="006D2BA9" w:rsidRPr="005C598C">
        <w:rPr>
          <w:b/>
          <w:i/>
        </w:rPr>
        <w:t>, 20</w:t>
      </w:r>
      <w:r w:rsidR="00682F4B" w:rsidRPr="005C598C">
        <w:rPr>
          <w:b/>
          <w:i/>
        </w:rPr>
        <w:t>2</w:t>
      </w:r>
      <w:r w:rsidR="00F568AE" w:rsidRPr="005C598C">
        <w:rPr>
          <w:b/>
          <w:i/>
        </w:rPr>
        <w:t>4</w:t>
      </w:r>
    </w:p>
    <w:p w14:paraId="5843312B" w14:textId="77777777" w:rsidR="006D2BA9" w:rsidRPr="00A448E8" w:rsidRDefault="006D2BA9" w:rsidP="00DF4B77">
      <w:pPr>
        <w:jc w:val="both"/>
      </w:pPr>
    </w:p>
    <w:p w14:paraId="24C23649" w14:textId="668FF2F9" w:rsidR="00DF4B77" w:rsidRDefault="00DF4B77" w:rsidP="00DF4B77">
      <w:pPr>
        <w:jc w:val="both"/>
      </w:pPr>
      <w:r w:rsidRPr="00A448E8">
        <w:t xml:space="preserve">During </w:t>
      </w:r>
      <w:r w:rsidRPr="002E63C9">
        <w:t xml:space="preserve">the </w:t>
      </w:r>
      <w:r w:rsidR="004C0FAA">
        <w:t>three month period</w:t>
      </w:r>
      <w:r w:rsidR="007D44FB">
        <w:t xml:space="preserve"> </w:t>
      </w:r>
      <w:r w:rsidR="00AB04C5" w:rsidRPr="002E63C9">
        <w:t>ended</w:t>
      </w:r>
      <w:r w:rsidR="004B772F" w:rsidRPr="002E63C9">
        <w:t xml:space="preserve"> </w:t>
      </w:r>
      <w:r w:rsidR="0029767C">
        <w:t>February</w:t>
      </w:r>
      <w:r w:rsidR="007D44FB">
        <w:t xml:space="preserve"> </w:t>
      </w:r>
      <w:r w:rsidR="0029767C">
        <w:t>29</w:t>
      </w:r>
      <w:r w:rsidR="007D44FB">
        <w:t>, 202</w:t>
      </w:r>
      <w:r w:rsidR="0029767C">
        <w:t>4</w:t>
      </w:r>
      <w:r w:rsidRPr="002E63C9">
        <w:t xml:space="preserve">, the Company had a net </w:t>
      </w:r>
      <w:r w:rsidR="00E61724" w:rsidRPr="002E63C9">
        <w:t xml:space="preserve">comprehensive </w:t>
      </w:r>
      <w:r w:rsidRPr="002E63C9">
        <w:t xml:space="preserve">loss </w:t>
      </w:r>
      <w:r w:rsidRPr="008D0642">
        <w:t>of $</w:t>
      </w:r>
      <w:r w:rsidR="0029767C">
        <w:t>183</w:t>
      </w:r>
      <w:r w:rsidR="00807B33" w:rsidRPr="008D0642">
        <w:t>,</w:t>
      </w:r>
      <w:r w:rsidR="0029767C">
        <w:t>752</w:t>
      </w:r>
      <w:r w:rsidR="00587BAF" w:rsidRPr="00587BAF">
        <w:t xml:space="preserve"> </w:t>
      </w:r>
      <w:r w:rsidRPr="00587BAF">
        <w:t>(20</w:t>
      </w:r>
      <w:r w:rsidR="002965E5" w:rsidRPr="00587BAF">
        <w:t>2</w:t>
      </w:r>
      <w:r w:rsidR="0029767C">
        <w:t>3</w:t>
      </w:r>
      <w:r w:rsidRPr="00587BAF">
        <w:t xml:space="preserve"> - $</w:t>
      </w:r>
      <w:r w:rsidR="0029767C">
        <w:t>242</w:t>
      </w:r>
      <w:r w:rsidR="009B0920">
        <w:t>,</w:t>
      </w:r>
      <w:r w:rsidR="0029767C">
        <w:t>009</w:t>
      </w:r>
      <w:r w:rsidR="003F48E1" w:rsidRPr="00587BAF">
        <w:t>)</w:t>
      </w:r>
      <w:r w:rsidRPr="00587BAF">
        <w:t xml:space="preserve">. The net </w:t>
      </w:r>
      <w:r w:rsidR="00E61724" w:rsidRPr="00587BAF">
        <w:t xml:space="preserve">comprehensive </w:t>
      </w:r>
      <w:r w:rsidRPr="00587BAF">
        <w:t>loss is comprised of the following items:</w:t>
      </w:r>
      <w:r w:rsidRPr="00385ECD">
        <w:t xml:space="preserve"> </w:t>
      </w:r>
    </w:p>
    <w:p w14:paraId="1E17D601" w14:textId="77777777" w:rsidR="00287399" w:rsidRPr="00385ECD" w:rsidRDefault="00287399" w:rsidP="00DF4B77">
      <w:pPr>
        <w:jc w:val="both"/>
      </w:pPr>
    </w:p>
    <w:p w14:paraId="7DCB8001" w14:textId="250396C0" w:rsidR="00DF4B77" w:rsidRPr="00A448E8" w:rsidRDefault="00DF4B77" w:rsidP="00D67BCE">
      <w:pPr>
        <w:pStyle w:val="BodyText"/>
        <w:numPr>
          <w:ilvl w:val="0"/>
          <w:numId w:val="1"/>
        </w:numPr>
        <w:tabs>
          <w:tab w:val="clear" w:pos="720"/>
          <w:tab w:val="num" w:pos="360"/>
        </w:tabs>
        <w:ind w:left="360"/>
        <w:jc w:val="both"/>
        <w:rPr>
          <w:sz w:val="20"/>
        </w:rPr>
      </w:pPr>
      <w:r w:rsidRPr="00301886">
        <w:rPr>
          <w:sz w:val="20"/>
        </w:rPr>
        <w:t xml:space="preserve">Advertising and promotion </w:t>
      </w:r>
      <w:r w:rsidRPr="008D0642">
        <w:rPr>
          <w:sz w:val="20"/>
        </w:rPr>
        <w:t>costs of $</w:t>
      </w:r>
      <w:r w:rsidR="0029767C">
        <w:rPr>
          <w:sz w:val="20"/>
        </w:rPr>
        <w:t>51</w:t>
      </w:r>
      <w:r w:rsidR="004C0FAA">
        <w:rPr>
          <w:sz w:val="20"/>
        </w:rPr>
        <w:t>,</w:t>
      </w:r>
      <w:r w:rsidR="0029767C">
        <w:rPr>
          <w:sz w:val="20"/>
        </w:rPr>
        <w:t>812</w:t>
      </w:r>
      <w:r w:rsidR="004C0FAA">
        <w:rPr>
          <w:sz w:val="20"/>
        </w:rPr>
        <w:t xml:space="preserve"> </w:t>
      </w:r>
      <w:r w:rsidRPr="008D0642">
        <w:rPr>
          <w:sz w:val="20"/>
        </w:rPr>
        <w:t>(20</w:t>
      </w:r>
      <w:r w:rsidR="00A665DC" w:rsidRPr="008D0642">
        <w:rPr>
          <w:sz w:val="20"/>
        </w:rPr>
        <w:t>2</w:t>
      </w:r>
      <w:r w:rsidR="0029767C">
        <w:rPr>
          <w:sz w:val="20"/>
        </w:rPr>
        <w:t>3</w:t>
      </w:r>
      <w:r w:rsidRPr="00587BAF">
        <w:rPr>
          <w:sz w:val="20"/>
        </w:rPr>
        <w:t xml:space="preserve"> - $</w:t>
      </w:r>
      <w:r w:rsidR="0029767C">
        <w:rPr>
          <w:sz w:val="20"/>
        </w:rPr>
        <w:t>65</w:t>
      </w:r>
      <w:r w:rsidR="009B0920">
        <w:rPr>
          <w:sz w:val="20"/>
        </w:rPr>
        <w:t>,</w:t>
      </w:r>
      <w:r w:rsidR="0029767C">
        <w:rPr>
          <w:sz w:val="20"/>
        </w:rPr>
        <w:t>635</w:t>
      </w:r>
      <w:r w:rsidRPr="00A448E8">
        <w:rPr>
          <w:sz w:val="20"/>
        </w:rPr>
        <w:t xml:space="preserve">) </w:t>
      </w:r>
      <w:r w:rsidR="00BE2459" w:rsidRPr="00A448E8">
        <w:rPr>
          <w:sz w:val="20"/>
        </w:rPr>
        <w:t xml:space="preserve">were incurred </w:t>
      </w:r>
      <w:r w:rsidR="00DE1EEF" w:rsidRPr="00A448E8">
        <w:rPr>
          <w:sz w:val="20"/>
        </w:rPr>
        <w:t xml:space="preserve">to </w:t>
      </w:r>
      <w:r w:rsidR="00967ED2" w:rsidRPr="00A448E8">
        <w:rPr>
          <w:sz w:val="20"/>
        </w:rPr>
        <w:t xml:space="preserve">promote and </w:t>
      </w:r>
      <w:r w:rsidR="00DE1EEF" w:rsidRPr="00A448E8">
        <w:rPr>
          <w:sz w:val="20"/>
        </w:rPr>
        <w:t xml:space="preserve">increase </w:t>
      </w:r>
      <w:r w:rsidR="00B11EDB" w:rsidRPr="00A448E8">
        <w:rPr>
          <w:sz w:val="20"/>
        </w:rPr>
        <w:t xml:space="preserve">investor </w:t>
      </w:r>
      <w:r w:rsidR="00DE1EEF" w:rsidRPr="00A448E8">
        <w:rPr>
          <w:sz w:val="20"/>
        </w:rPr>
        <w:t>awareness of the Company</w:t>
      </w:r>
      <w:r w:rsidR="00DD2FC4" w:rsidRPr="00A448E8">
        <w:rPr>
          <w:sz w:val="20"/>
        </w:rPr>
        <w:t>’s various mineral projects</w:t>
      </w:r>
      <w:r w:rsidR="00E51A51">
        <w:rPr>
          <w:sz w:val="20"/>
        </w:rPr>
        <w:t>.</w:t>
      </w:r>
      <w:r w:rsidR="00587BAF">
        <w:rPr>
          <w:sz w:val="20"/>
        </w:rPr>
        <w:t xml:space="preserve"> </w:t>
      </w:r>
      <w:r w:rsidR="003F5493">
        <w:rPr>
          <w:sz w:val="20"/>
        </w:rPr>
        <w:t>The</w:t>
      </w:r>
      <w:r w:rsidR="001A7D10">
        <w:rPr>
          <w:sz w:val="20"/>
        </w:rPr>
        <w:t xml:space="preserve"> Company </w:t>
      </w:r>
      <w:r w:rsidR="00D231C2">
        <w:rPr>
          <w:sz w:val="20"/>
        </w:rPr>
        <w:t>entered in</w:t>
      </w:r>
      <w:r w:rsidR="001A7D10">
        <w:rPr>
          <w:sz w:val="20"/>
        </w:rPr>
        <w:t>to</w:t>
      </w:r>
      <w:r w:rsidR="00D231C2">
        <w:rPr>
          <w:sz w:val="20"/>
        </w:rPr>
        <w:t xml:space="preserve"> various short</w:t>
      </w:r>
      <w:r w:rsidR="003D7E9C">
        <w:rPr>
          <w:sz w:val="20"/>
        </w:rPr>
        <w:t>-t</w:t>
      </w:r>
      <w:r w:rsidR="00D231C2">
        <w:rPr>
          <w:sz w:val="20"/>
        </w:rPr>
        <w:t xml:space="preserve">erm service agreements with </w:t>
      </w:r>
      <w:r w:rsidR="00362863">
        <w:rPr>
          <w:sz w:val="20"/>
        </w:rPr>
        <w:t xml:space="preserve">independent </w:t>
      </w:r>
      <w:r w:rsidR="00D231C2">
        <w:rPr>
          <w:sz w:val="20"/>
        </w:rPr>
        <w:t xml:space="preserve">consultants to provide the </w:t>
      </w:r>
      <w:r w:rsidR="00FF10BF">
        <w:rPr>
          <w:sz w:val="20"/>
        </w:rPr>
        <w:t>Company with</w:t>
      </w:r>
      <w:r w:rsidR="00D231C2">
        <w:rPr>
          <w:sz w:val="20"/>
        </w:rPr>
        <w:t xml:space="preserve"> exposure to potential new shareholders</w:t>
      </w:r>
      <w:r w:rsidR="00D63944" w:rsidRPr="00FA71CB">
        <w:rPr>
          <w:sz w:val="20"/>
        </w:rPr>
        <w:t>.</w:t>
      </w:r>
      <w:r w:rsidR="007D44FB">
        <w:rPr>
          <w:sz w:val="20"/>
        </w:rPr>
        <w:t xml:space="preserve"> </w:t>
      </w:r>
      <w:r w:rsidR="004C0FAA">
        <w:rPr>
          <w:sz w:val="20"/>
        </w:rPr>
        <w:t xml:space="preserve"> </w:t>
      </w:r>
      <w:r w:rsidR="00867DEA" w:rsidRPr="00A448E8">
        <w:rPr>
          <w:sz w:val="20"/>
        </w:rPr>
        <w:t xml:space="preserve"> </w:t>
      </w:r>
    </w:p>
    <w:p w14:paraId="02FA969C" w14:textId="77777777" w:rsidR="00EE6FEC" w:rsidRPr="00A448E8" w:rsidRDefault="00EE6FEC" w:rsidP="00EE6FEC">
      <w:pPr>
        <w:pStyle w:val="BodyText"/>
        <w:tabs>
          <w:tab w:val="clear" w:pos="720"/>
        </w:tabs>
        <w:jc w:val="both"/>
        <w:rPr>
          <w:sz w:val="20"/>
        </w:rPr>
      </w:pPr>
    </w:p>
    <w:p w14:paraId="6270960B" w14:textId="6DFEEDB9" w:rsidR="000314F0" w:rsidRPr="00A448E8" w:rsidRDefault="000314F0" w:rsidP="00D67BCE">
      <w:pPr>
        <w:pStyle w:val="BodyText"/>
        <w:numPr>
          <w:ilvl w:val="0"/>
          <w:numId w:val="1"/>
        </w:numPr>
        <w:tabs>
          <w:tab w:val="clear" w:pos="720"/>
          <w:tab w:val="num" w:pos="360"/>
        </w:tabs>
        <w:ind w:left="360"/>
        <w:jc w:val="both"/>
        <w:rPr>
          <w:sz w:val="20"/>
        </w:rPr>
      </w:pPr>
      <w:r w:rsidRPr="00A448E8">
        <w:rPr>
          <w:sz w:val="20"/>
        </w:rPr>
        <w:t xml:space="preserve">Bank </w:t>
      </w:r>
      <w:r w:rsidRPr="007F5A45">
        <w:rPr>
          <w:sz w:val="20"/>
        </w:rPr>
        <w:t xml:space="preserve">charges and </w:t>
      </w:r>
      <w:r w:rsidRPr="00F128C3">
        <w:rPr>
          <w:sz w:val="20"/>
        </w:rPr>
        <w:t>interest of $</w:t>
      </w:r>
      <w:r w:rsidR="00B66352">
        <w:rPr>
          <w:sz w:val="20"/>
        </w:rPr>
        <w:t>1</w:t>
      </w:r>
      <w:r w:rsidR="0081142C" w:rsidRPr="00F128C3">
        <w:rPr>
          <w:sz w:val="20"/>
        </w:rPr>
        <w:t>,</w:t>
      </w:r>
      <w:r w:rsidR="0029767C">
        <w:rPr>
          <w:sz w:val="20"/>
        </w:rPr>
        <w:t>094</w:t>
      </w:r>
      <w:r w:rsidRPr="00F128C3">
        <w:rPr>
          <w:sz w:val="20"/>
        </w:rPr>
        <w:t xml:space="preserve"> (20</w:t>
      </w:r>
      <w:r w:rsidR="00A665DC" w:rsidRPr="00F128C3">
        <w:rPr>
          <w:sz w:val="20"/>
        </w:rPr>
        <w:t>2</w:t>
      </w:r>
      <w:r w:rsidR="0029767C">
        <w:rPr>
          <w:sz w:val="20"/>
        </w:rPr>
        <w:t>3</w:t>
      </w:r>
      <w:r w:rsidRPr="0035275C">
        <w:rPr>
          <w:sz w:val="20"/>
        </w:rPr>
        <w:t xml:space="preserve"> - $</w:t>
      </w:r>
      <w:r w:rsidR="00B66352">
        <w:rPr>
          <w:sz w:val="20"/>
        </w:rPr>
        <w:t>1</w:t>
      </w:r>
      <w:r w:rsidR="009B0920">
        <w:rPr>
          <w:sz w:val="20"/>
        </w:rPr>
        <w:t>,</w:t>
      </w:r>
      <w:r w:rsidR="0029767C">
        <w:rPr>
          <w:sz w:val="20"/>
        </w:rPr>
        <w:t>354</w:t>
      </w:r>
      <w:r w:rsidR="006E5A2E" w:rsidRPr="0035275C">
        <w:rPr>
          <w:sz w:val="20"/>
        </w:rPr>
        <w:t>)</w:t>
      </w:r>
      <w:r w:rsidR="00F128C3">
        <w:rPr>
          <w:sz w:val="20"/>
        </w:rPr>
        <w:t xml:space="preserve"> decreased </w:t>
      </w:r>
      <w:r w:rsidR="00B66352">
        <w:rPr>
          <w:sz w:val="20"/>
        </w:rPr>
        <w:t xml:space="preserve">marginally </w:t>
      </w:r>
      <w:r w:rsidR="00F128C3">
        <w:rPr>
          <w:sz w:val="20"/>
        </w:rPr>
        <w:t>over the comparative period.</w:t>
      </w:r>
      <w:r w:rsidR="001528D3" w:rsidRPr="0035275C">
        <w:rPr>
          <w:sz w:val="20"/>
        </w:rPr>
        <w:t xml:space="preserve"> </w:t>
      </w:r>
    </w:p>
    <w:p w14:paraId="143906C2" w14:textId="77777777" w:rsidR="00EE6FEC" w:rsidRPr="00A448E8" w:rsidRDefault="00EE6FEC" w:rsidP="00EE6FEC">
      <w:pPr>
        <w:pStyle w:val="BodyText"/>
        <w:tabs>
          <w:tab w:val="clear" w:pos="720"/>
        </w:tabs>
        <w:jc w:val="both"/>
        <w:rPr>
          <w:sz w:val="20"/>
        </w:rPr>
      </w:pPr>
    </w:p>
    <w:p w14:paraId="6AC4F406" w14:textId="1A611AE3" w:rsidR="0072078E" w:rsidRPr="00891088" w:rsidRDefault="00DF4B77" w:rsidP="0072078E">
      <w:pPr>
        <w:pStyle w:val="BodyText"/>
        <w:numPr>
          <w:ilvl w:val="0"/>
          <w:numId w:val="1"/>
        </w:numPr>
        <w:tabs>
          <w:tab w:val="clear" w:pos="720"/>
          <w:tab w:val="num" w:pos="360"/>
        </w:tabs>
        <w:ind w:left="360"/>
        <w:jc w:val="both"/>
        <w:rPr>
          <w:sz w:val="20"/>
        </w:rPr>
      </w:pPr>
      <w:r w:rsidRPr="002B7820">
        <w:rPr>
          <w:sz w:val="20"/>
        </w:rPr>
        <w:t xml:space="preserve">Consulting </w:t>
      </w:r>
      <w:r w:rsidRPr="000325A9">
        <w:rPr>
          <w:sz w:val="20"/>
        </w:rPr>
        <w:t xml:space="preserve">fees </w:t>
      </w:r>
      <w:r w:rsidRPr="00F128C3">
        <w:rPr>
          <w:sz w:val="20"/>
        </w:rPr>
        <w:t>of $</w:t>
      </w:r>
      <w:r w:rsidR="00B66352">
        <w:rPr>
          <w:sz w:val="20"/>
        </w:rPr>
        <w:t>Nil</w:t>
      </w:r>
      <w:r w:rsidRPr="00F128C3">
        <w:rPr>
          <w:sz w:val="20"/>
        </w:rPr>
        <w:t xml:space="preserve"> (20</w:t>
      </w:r>
      <w:r w:rsidR="00A665DC" w:rsidRPr="00F128C3">
        <w:rPr>
          <w:sz w:val="20"/>
        </w:rPr>
        <w:t>2</w:t>
      </w:r>
      <w:r w:rsidR="0029767C">
        <w:rPr>
          <w:sz w:val="20"/>
        </w:rPr>
        <w:t>3</w:t>
      </w:r>
      <w:r w:rsidRPr="00E16A37">
        <w:rPr>
          <w:sz w:val="20"/>
        </w:rPr>
        <w:t xml:space="preserve"> -</w:t>
      </w:r>
      <w:r w:rsidRPr="002B7820">
        <w:rPr>
          <w:sz w:val="20"/>
        </w:rPr>
        <w:t xml:space="preserve"> $</w:t>
      </w:r>
      <w:r w:rsidR="00B66352">
        <w:rPr>
          <w:sz w:val="20"/>
        </w:rPr>
        <w:t>8</w:t>
      </w:r>
      <w:r w:rsidR="0029767C">
        <w:rPr>
          <w:sz w:val="20"/>
        </w:rPr>
        <w:t>8</w:t>
      </w:r>
      <w:r w:rsidR="001528D3">
        <w:rPr>
          <w:sz w:val="20"/>
        </w:rPr>
        <w:t>,</w:t>
      </w:r>
      <w:r w:rsidR="0029767C">
        <w:rPr>
          <w:sz w:val="20"/>
        </w:rPr>
        <w:t>721</w:t>
      </w:r>
      <w:r w:rsidRPr="002B7820">
        <w:rPr>
          <w:sz w:val="20"/>
        </w:rPr>
        <w:t xml:space="preserve">) </w:t>
      </w:r>
      <w:r w:rsidR="007F5A45">
        <w:rPr>
          <w:sz w:val="20"/>
        </w:rPr>
        <w:t xml:space="preserve">were paid to </w:t>
      </w:r>
      <w:r w:rsidR="00314FA0">
        <w:rPr>
          <w:sz w:val="20"/>
        </w:rPr>
        <w:t xml:space="preserve">a director and </w:t>
      </w:r>
      <w:r w:rsidR="003A1E5B">
        <w:rPr>
          <w:sz w:val="20"/>
        </w:rPr>
        <w:t xml:space="preserve">former </w:t>
      </w:r>
      <w:r w:rsidR="00314FA0">
        <w:rPr>
          <w:sz w:val="20"/>
        </w:rPr>
        <w:t>CEO of the Company.</w:t>
      </w:r>
      <w:r w:rsidR="00F128C3">
        <w:rPr>
          <w:sz w:val="20"/>
        </w:rPr>
        <w:t xml:space="preserve"> </w:t>
      </w:r>
      <w:r w:rsidR="003A1E5B">
        <w:rPr>
          <w:sz w:val="20"/>
        </w:rPr>
        <w:t xml:space="preserve">The Company did not pay any fees to directors or </w:t>
      </w:r>
      <w:r w:rsidR="00D050F5">
        <w:rPr>
          <w:sz w:val="20"/>
        </w:rPr>
        <w:t>former directors during the current period</w:t>
      </w:r>
      <w:r w:rsidR="003A1E5B">
        <w:rPr>
          <w:sz w:val="20"/>
        </w:rPr>
        <w:t>.</w:t>
      </w:r>
      <w:r w:rsidR="00314FA0">
        <w:rPr>
          <w:sz w:val="20"/>
        </w:rPr>
        <w:t xml:space="preserve"> </w:t>
      </w:r>
    </w:p>
    <w:p w14:paraId="20D2892F" w14:textId="77777777" w:rsidR="00FF72C2" w:rsidRDefault="00FF72C2" w:rsidP="00FF72C2">
      <w:pPr>
        <w:pStyle w:val="BodyText"/>
        <w:tabs>
          <w:tab w:val="clear" w:pos="720"/>
        </w:tabs>
        <w:jc w:val="both"/>
        <w:rPr>
          <w:sz w:val="20"/>
        </w:rPr>
      </w:pPr>
    </w:p>
    <w:p w14:paraId="6399A966" w14:textId="72477F20" w:rsidR="00F128C3" w:rsidRDefault="00FF72C2" w:rsidP="0072078E">
      <w:pPr>
        <w:pStyle w:val="BodyText"/>
        <w:numPr>
          <w:ilvl w:val="0"/>
          <w:numId w:val="1"/>
        </w:numPr>
        <w:tabs>
          <w:tab w:val="clear" w:pos="720"/>
          <w:tab w:val="num" w:pos="360"/>
        </w:tabs>
        <w:ind w:left="360"/>
        <w:jc w:val="both"/>
        <w:rPr>
          <w:sz w:val="20"/>
        </w:rPr>
      </w:pPr>
      <w:r w:rsidRPr="00587BAF">
        <w:rPr>
          <w:sz w:val="20"/>
        </w:rPr>
        <w:t xml:space="preserve">Insurance </w:t>
      </w:r>
      <w:r w:rsidRPr="00F128C3">
        <w:rPr>
          <w:sz w:val="20"/>
        </w:rPr>
        <w:t>of $</w:t>
      </w:r>
      <w:r w:rsidR="00B66352">
        <w:rPr>
          <w:sz w:val="20"/>
        </w:rPr>
        <w:t>8</w:t>
      </w:r>
      <w:r w:rsidR="006E5A2E" w:rsidRPr="00F128C3">
        <w:rPr>
          <w:sz w:val="20"/>
        </w:rPr>
        <w:t>,</w:t>
      </w:r>
      <w:r w:rsidR="0029767C">
        <w:rPr>
          <w:sz w:val="20"/>
        </w:rPr>
        <w:t>345</w:t>
      </w:r>
      <w:r w:rsidR="00BC197B" w:rsidRPr="00F128C3">
        <w:rPr>
          <w:sz w:val="20"/>
        </w:rPr>
        <w:t xml:space="preserve"> </w:t>
      </w:r>
      <w:r w:rsidRPr="00F128C3">
        <w:rPr>
          <w:sz w:val="20"/>
        </w:rPr>
        <w:t>(20</w:t>
      </w:r>
      <w:r w:rsidR="00757CFD" w:rsidRPr="00F128C3">
        <w:rPr>
          <w:sz w:val="20"/>
        </w:rPr>
        <w:t>2</w:t>
      </w:r>
      <w:r w:rsidR="0029767C">
        <w:rPr>
          <w:sz w:val="20"/>
        </w:rPr>
        <w:t>3</w:t>
      </w:r>
      <w:r w:rsidRPr="00F128C3">
        <w:rPr>
          <w:sz w:val="20"/>
        </w:rPr>
        <w:t xml:space="preserve"> -</w:t>
      </w:r>
      <w:r w:rsidRPr="00587BAF">
        <w:rPr>
          <w:sz w:val="20"/>
        </w:rPr>
        <w:t xml:space="preserve"> $</w:t>
      </w:r>
      <w:r w:rsidR="00B66352">
        <w:rPr>
          <w:sz w:val="20"/>
        </w:rPr>
        <w:t>7</w:t>
      </w:r>
      <w:r w:rsidR="003819E3">
        <w:rPr>
          <w:sz w:val="20"/>
        </w:rPr>
        <w:t>,</w:t>
      </w:r>
      <w:r w:rsidR="00B66352">
        <w:rPr>
          <w:sz w:val="20"/>
        </w:rPr>
        <w:t>7</w:t>
      </w:r>
      <w:r w:rsidR="0029767C">
        <w:rPr>
          <w:sz w:val="20"/>
        </w:rPr>
        <w:t>53</w:t>
      </w:r>
      <w:r>
        <w:rPr>
          <w:sz w:val="20"/>
        </w:rPr>
        <w:t xml:space="preserve"> relates to directors and officers </w:t>
      </w:r>
      <w:r w:rsidR="001F4FEC">
        <w:rPr>
          <w:sz w:val="20"/>
        </w:rPr>
        <w:t xml:space="preserve">and general commercial </w:t>
      </w:r>
      <w:r w:rsidR="006E5A2E">
        <w:rPr>
          <w:sz w:val="20"/>
        </w:rPr>
        <w:t xml:space="preserve">liability </w:t>
      </w:r>
      <w:r>
        <w:rPr>
          <w:sz w:val="20"/>
        </w:rPr>
        <w:t>insurance</w:t>
      </w:r>
      <w:r w:rsidR="00D050F5">
        <w:rPr>
          <w:sz w:val="20"/>
        </w:rPr>
        <w:t xml:space="preserve">. Current period expense increased </w:t>
      </w:r>
      <w:r w:rsidR="00B66352">
        <w:rPr>
          <w:sz w:val="20"/>
        </w:rPr>
        <w:t>over the comparative period</w:t>
      </w:r>
      <w:r w:rsidR="00D050F5">
        <w:rPr>
          <w:sz w:val="20"/>
        </w:rPr>
        <w:t xml:space="preserve"> as the Company has spread out the payment of the insurance premium resulting in a finance charge.</w:t>
      </w:r>
      <w:r w:rsidR="001F4FEC">
        <w:rPr>
          <w:sz w:val="20"/>
        </w:rPr>
        <w:t xml:space="preserve"> </w:t>
      </w:r>
      <w:r w:rsidR="00FA448D">
        <w:rPr>
          <w:sz w:val="20"/>
        </w:rPr>
        <w:t xml:space="preserve"> </w:t>
      </w:r>
    </w:p>
    <w:p w14:paraId="190496F5" w14:textId="77777777" w:rsidR="00F128C3" w:rsidRDefault="00F128C3" w:rsidP="00F128C3">
      <w:pPr>
        <w:pStyle w:val="ListParagraph"/>
        <w:rPr>
          <w:sz w:val="20"/>
        </w:rPr>
      </w:pPr>
    </w:p>
    <w:p w14:paraId="47E5A56B" w14:textId="38145321" w:rsidR="00FF72C2" w:rsidRDefault="00F128C3" w:rsidP="0072078E">
      <w:pPr>
        <w:pStyle w:val="BodyText"/>
        <w:numPr>
          <w:ilvl w:val="0"/>
          <w:numId w:val="1"/>
        </w:numPr>
        <w:tabs>
          <w:tab w:val="clear" w:pos="720"/>
          <w:tab w:val="num" w:pos="360"/>
        </w:tabs>
        <w:ind w:left="360"/>
        <w:jc w:val="both"/>
        <w:rPr>
          <w:sz w:val="20"/>
        </w:rPr>
      </w:pPr>
      <w:r>
        <w:rPr>
          <w:sz w:val="20"/>
        </w:rPr>
        <w:t>Loan interest of $</w:t>
      </w:r>
      <w:r w:rsidR="00B66352">
        <w:rPr>
          <w:sz w:val="20"/>
        </w:rPr>
        <w:t>1</w:t>
      </w:r>
      <w:r w:rsidR="0029767C">
        <w:rPr>
          <w:sz w:val="20"/>
        </w:rPr>
        <w:t>2</w:t>
      </w:r>
      <w:r>
        <w:rPr>
          <w:sz w:val="20"/>
        </w:rPr>
        <w:t>,</w:t>
      </w:r>
      <w:r w:rsidR="0029767C">
        <w:rPr>
          <w:sz w:val="20"/>
        </w:rPr>
        <w:t>877</w:t>
      </w:r>
      <w:r>
        <w:rPr>
          <w:sz w:val="20"/>
        </w:rPr>
        <w:t xml:space="preserve"> (202</w:t>
      </w:r>
      <w:r w:rsidR="0029767C">
        <w:rPr>
          <w:sz w:val="20"/>
        </w:rPr>
        <w:t>3</w:t>
      </w:r>
      <w:r>
        <w:rPr>
          <w:sz w:val="20"/>
        </w:rPr>
        <w:t xml:space="preserve"> - $</w:t>
      </w:r>
      <w:r w:rsidR="0011499B">
        <w:rPr>
          <w:sz w:val="20"/>
        </w:rPr>
        <w:t xml:space="preserve">Nil) was accrued </w:t>
      </w:r>
      <w:r w:rsidR="003A1E5B">
        <w:rPr>
          <w:sz w:val="20"/>
        </w:rPr>
        <w:t xml:space="preserve">on </w:t>
      </w:r>
      <w:r w:rsidR="0011499B">
        <w:rPr>
          <w:sz w:val="20"/>
        </w:rPr>
        <w:t>loans payable to a director of the Company.</w:t>
      </w:r>
      <w:r w:rsidR="00FA448D">
        <w:rPr>
          <w:sz w:val="20"/>
        </w:rPr>
        <w:t xml:space="preserve"> </w:t>
      </w:r>
      <w:r w:rsidR="00FF72C2">
        <w:rPr>
          <w:sz w:val="20"/>
        </w:rPr>
        <w:t xml:space="preserve"> </w:t>
      </w:r>
    </w:p>
    <w:p w14:paraId="381AD9E3" w14:textId="77777777" w:rsidR="00757CFD" w:rsidRDefault="00757CFD" w:rsidP="00757CFD">
      <w:pPr>
        <w:pStyle w:val="BodyText"/>
        <w:tabs>
          <w:tab w:val="clear" w:pos="720"/>
        </w:tabs>
        <w:jc w:val="both"/>
        <w:rPr>
          <w:sz w:val="20"/>
        </w:rPr>
      </w:pPr>
    </w:p>
    <w:p w14:paraId="56ADE629" w14:textId="6781000F" w:rsidR="00DF4B77" w:rsidRDefault="00DF4B77" w:rsidP="00D67BCE">
      <w:pPr>
        <w:pStyle w:val="BodyText"/>
        <w:numPr>
          <w:ilvl w:val="0"/>
          <w:numId w:val="1"/>
        </w:numPr>
        <w:tabs>
          <w:tab w:val="clear" w:pos="720"/>
          <w:tab w:val="num" w:pos="360"/>
        </w:tabs>
        <w:ind w:left="360"/>
        <w:jc w:val="both"/>
        <w:rPr>
          <w:sz w:val="20"/>
        </w:rPr>
      </w:pPr>
      <w:r w:rsidRPr="00D126E3">
        <w:rPr>
          <w:sz w:val="20"/>
        </w:rPr>
        <w:t xml:space="preserve">Office and </w:t>
      </w:r>
      <w:r w:rsidRPr="00E307DB">
        <w:rPr>
          <w:sz w:val="20"/>
        </w:rPr>
        <w:t xml:space="preserve">general </w:t>
      </w:r>
      <w:r w:rsidRPr="00587BAF">
        <w:rPr>
          <w:sz w:val="20"/>
        </w:rPr>
        <w:t xml:space="preserve">costs of </w:t>
      </w:r>
      <w:r w:rsidRPr="0011499B">
        <w:rPr>
          <w:sz w:val="20"/>
        </w:rPr>
        <w:t>$</w:t>
      </w:r>
      <w:r w:rsidR="0011499B" w:rsidRPr="0011499B">
        <w:rPr>
          <w:sz w:val="20"/>
        </w:rPr>
        <w:t>2</w:t>
      </w:r>
      <w:r w:rsidR="00587BAF" w:rsidRPr="0011499B">
        <w:rPr>
          <w:sz w:val="20"/>
        </w:rPr>
        <w:t>,</w:t>
      </w:r>
      <w:r w:rsidR="0029767C">
        <w:rPr>
          <w:sz w:val="20"/>
        </w:rPr>
        <w:t>394</w:t>
      </w:r>
      <w:r w:rsidR="00B66352">
        <w:rPr>
          <w:sz w:val="20"/>
        </w:rPr>
        <w:t xml:space="preserve"> </w:t>
      </w:r>
      <w:r w:rsidRPr="00587BAF">
        <w:rPr>
          <w:sz w:val="20"/>
        </w:rPr>
        <w:t>(20</w:t>
      </w:r>
      <w:r w:rsidR="00A665DC" w:rsidRPr="00587BAF">
        <w:rPr>
          <w:sz w:val="20"/>
        </w:rPr>
        <w:t>2</w:t>
      </w:r>
      <w:r w:rsidR="0029767C">
        <w:rPr>
          <w:sz w:val="20"/>
        </w:rPr>
        <w:t>3</w:t>
      </w:r>
      <w:r w:rsidRPr="00587BAF">
        <w:rPr>
          <w:sz w:val="20"/>
        </w:rPr>
        <w:t xml:space="preserve"> -</w:t>
      </w:r>
      <w:r w:rsidR="00221626" w:rsidRPr="00587BAF">
        <w:rPr>
          <w:sz w:val="20"/>
        </w:rPr>
        <w:t xml:space="preserve"> </w:t>
      </w:r>
      <w:r w:rsidRPr="00587BAF">
        <w:rPr>
          <w:sz w:val="20"/>
        </w:rPr>
        <w:t>$</w:t>
      </w:r>
      <w:r w:rsidR="0029767C">
        <w:rPr>
          <w:sz w:val="20"/>
        </w:rPr>
        <w:t>2</w:t>
      </w:r>
      <w:r w:rsidR="004B622A" w:rsidRPr="00D126E3">
        <w:rPr>
          <w:sz w:val="20"/>
        </w:rPr>
        <w:t>,</w:t>
      </w:r>
      <w:r w:rsidR="0029767C">
        <w:rPr>
          <w:sz w:val="20"/>
        </w:rPr>
        <w:t>627</w:t>
      </w:r>
      <w:r w:rsidRPr="00D126E3">
        <w:rPr>
          <w:sz w:val="20"/>
        </w:rPr>
        <w:t>)</w:t>
      </w:r>
      <w:r w:rsidR="00113A07">
        <w:rPr>
          <w:sz w:val="20"/>
        </w:rPr>
        <w:t xml:space="preserve"> were incurred </w:t>
      </w:r>
      <w:r w:rsidR="00E51A51" w:rsidRPr="00D126E3">
        <w:rPr>
          <w:sz w:val="20"/>
        </w:rPr>
        <w:t xml:space="preserve">which include </w:t>
      </w:r>
      <w:proofErr w:type="gramStart"/>
      <w:r w:rsidR="00113A07">
        <w:rPr>
          <w:sz w:val="20"/>
        </w:rPr>
        <w:t>costs</w:t>
      </w:r>
      <w:proofErr w:type="gramEnd"/>
      <w:r w:rsidR="00113A07">
        <w:rPr>
          <w:sz w:val="20"/>
        </w:rPr>
        <w:t xml:space="preserve"> of maintaining the Company’s </w:t>
      </w:r>
      <w:r w:rsidR="00E51A51" w:rsidRPr="00D126E3">
        <w:rPr>
          <w:sz w:val="20"/>
        </w:rPr>
        <w:t>website</w:t>
      </w:r>
      <w:r w:rsidR="00113A07">
        <w:rPr>
          <w:sz w:val="20"/>
        </w:rPr>
        <w:t>.</w:t>
      </w:r>
      <w:r w:rsidR="00C811C3" w:rsidRPr="00D126E3">
        <w:rPr>
          <w:sz w:val="20"/>
        </w:rPr>
        <w:t xml:space="preserve"> </w:t>
      </w:r>
      <w:r w:rsidR="006E5A2E" w:rsidRPr="00D126E3">
        <w:rPr>
          <w:sz w:val="20"/>
        </w:rPr>
        <w:t xml:space="preserve"> </w:t>
      </w:r>
      <w:r w:rsidR="006B4036" w:rsidRPr="00D126E3">
        <w:rPr>
          <w:sz w:val="20"/>
        </w:rPr>
        <w:t xml:space="preserve">    </w:t>
      </w:r>
      <w:r w:rsidR="00FA71CB" w:rsidRPr="00D126E3">
        <w:rPr>
          <w:sz w:val="20"/>
        </w:rPr>
        <w:t xml:space="preserve"> </w:t>
      </w:r>
      <w:r w:rsidR="003253B7" w:rsidRPr="00D126E3">
        <w:rPr>
          <w:sz w:val="20"/>
        </w:rPr>
        <w:t xml:space="preserve"> </w:t>
      </w:r>
      <w:r w:rsidR="00BE2459" w:rsidRPr="00D126E3">
        <w:rPr>
          <w:sz w:val="20"/>
        </w:rPr>
        <w:t xml:space="preserve"> </w:t>
      </w:r>
      <w:r w:rsidR="00E369C7" w:rsidRPr="00D126E3">
        <w:rPr>
          <w:sz w:val="20"/>
        </w:rPr>
        <w:t xml:space="preserve"> </w:t>
      </w:r>
      <w:r w:rsidR="0077684C" w:rsidRPr="00D126E3">
        <w:rPr>
          <w:sz w:val="20"/>
        </w:rPr>
        <w:t xml:space="preserve"> </w:t>
      </w:r>
      <w:r w:rsidR="00E61724" w:rsidRPr="00D126E3">
        <w:rPr>
          <w:sz w:val="20"/>
        </w:rPr>
        <w:t xml:space="preserve"> </w:t>
      </w:r>
      <w:r w:rsidRPr="00D126E3">
        <w:rPr>
          <w:sz w:val="20"/>
        </w:rPr>
        <w:t xml:space="preserve"> </w:t>
      </w:r>
    </w:p>
    <w:p w14:paraId="314FAE99" w14:textId="77777777" w:rsidR="00174F4A" w:rsidRDefault="00174F4A" w:rsidP="00174F4A">
      <w:pPr>
        <w:pStyle w:val="ListParagraph"/>
        <w:rPr>
          <w:sz w:val="20"/>
        </w:rPr>
      </w:pPr>
    </w:p>
    <w:p w14:paraId="4EBEB299" w14:textId="0091A0AD" w:rsidR="00DF4B77" w:rsidRPr="005840CF" w:rsidRDefault="00DF4B77" w:rsidP="00D67BCE">
      <w:pPr>
        <w:pStyle w:val="BodyText"/>
        <w:numPr>
          <w:ilvl w:val="0"/>
          <w:numId w:val="1"/>
        </w:numPr>
        <w:tabs>
          <w:tab w:val="clear" w:pos="720"/>
          <w:tab w:val="num" w:pos="360"/>
        </w:tabs>
        <w:ind w:left="360"/>
        <w:jc w:val="both"/>
        <w:rPr>
          <w:sz w:val="20"/>
        </w:rPr>
      </w:pPr>
      <w:r w:rsidRPr="00BC5D1B">
        <w:rPr>
          <w:sz w:val="20"/>
        </w:rPr>
        <w:t xml:space="preserve">Professional fees of </w:t>
      </w:r>
      <w:r w:rsidR="00312FBA" w:rsidRPr="00BC5D1B">
        <w:rPr>
          <w:sz w:val="20"/>
        </w:rPr>
        <w:t>$</w:t>
      </w:r>
      <w:r w:rsidR="0029767C" w:rsidRPr="00BC5D1B">
        <w:rPr>
          <w:sz w:val="20"/>
        </w:rPr>
        <w:t>36</w:t>
      </w:r>
      <w:r w:rsidR="00174F4A" w:rsidRPr="00BC5D1B">
        <w:rPr>
          <w:sz w:val="20"/>
        </w:rPr>
        <w:t>,</w:t>
      </w:r>
      <w:r w:rsidR="0029767C" w:rsidRPr="00BC5D1B">
        <w:rPr>
          <w:sz w:val="20"/>
        </w:rPr>
        <w:t>354</w:t>
      </w:r>
      <w:r w:rsidRPr="00BC5D1B">
        <w:rPr>
          <w:sz w:val="20"/>
        </w:rPr>
        <w:t xml:space="preserve"> (20</w:t>
      </w:r>
      <w:r w:rsidR="008F395F" w:rsidRPr="00BC5D1B">
        <w:rPr>
          <w:sz w:val="20"/>
        </w:rPr>
        <w:t>2</w:t>
      </w:r>
      <w:r w:rsidR="0029767C" w:rsidRPr="00BC5D1B">
        <w:rPr>
          <w:sz w:val="20"/>
        </w:rPr>
        <w:t>3</w:t>
      </w:r>
      <w:r w:rsidRPr="00BC5D1B">
        <w:rPr>
          <w:sz w:val="20"/>
        </w:rPr>
        <w:t xml:space="preserve"> - $</w:t>
      </w:r>
      <w:r w:rsidR="0029767C" w:rsidRPr="00BC5D1B">
        <w:rPr>
          <w:sz w:val="20"/>
        </w:rPr>
        <w:t>52</w:t>
      </w:r>
      <w:r w:rsidR="00062F12" w:rsidRPr="00BC5D1B">
        <w:rPr>
          <w:sz w:val="20"/>
        </w:rPr>
        <w:t>,</w:t>
      </w:r>
      <w:r w:rsidR="0029767C" w:rsidRPr="00BC5D1B">
        <w:rPr>
          <w:sz w:val="20"/>
        </w:rPr>
        <w:t>865</w:t>
      </w:r>
      <w:r w:rsidRPr="00BC5D1B">
        <w:rPr>
          <w:sz w:val="20"/>
        </w:rPr>
        <w:t>) are comprised of $</w:t>
      </w:r>
      <w:r w:rsidR="00BC5D1B" w:rsidRPr="00BC5D1B">
        <w:rPr>
          <w:sz w:val="20"/>
        </w:rPr>
        <w:t>9,324</w:t>
      </w:r>
      <w:r w:rsidRPr="00BC5D1B">
        <w:rPr>
          <w:sz w:val="20"/>
        </w:rPr>
        <w:t xml:space="preserve"> (20</w:t>
      </w:r>
      <w:r w:rsidR="008F395F" w:rsidRPr="00BC5D1B">
        <w:rPr>
          <w:sz w:val="20"/>
        </w:rPr>
        <w:t>2</w:t>
      </w:r>
      <w:r w:rsidR="0029767C" w:rsidRPr="00BC5D1B">
        <w:rPr>
          <w:sz w:val="20"/>
        </w:rPr>
        <w:t>3</w:t>
      </w:r>
      <w:r w:rsidRPr="00BC5D1B">
        <w:rPr>
          <w:sz w:val="20"/>
        </w:rPr>
        <w:t xml:space="preserve"> - $</w:t>
      </w:r>
      <w:r w:rsidR="0029767C" w:rsidRPr="00BC5D1B">
        <w:rPr>
          <w:sz w:val="20"/>
        </w:rPr>
        <w:t>27</w:t>
      </w:r>
      <w:r w:rsidR="004460A4" w:rsidRPr="00BC5D1B">
        <w:rPr>
          <w:sz w:val="20"/>
        </w:rPr>
        <w:t>,</w:t>
      </w:r>
      <w:r w:rsidR="0029767C" w:rsidRPr="00BC5D1B">
        <w:rPr>
          <w:sz w:val="20"/>
        </w:rPr>
        <w:t>862</w:t>
      </w:r>
      <w:r w:rsidRPr="00BC5D1B">
        <w:rPr>
          <w:sz w:val="20"/>
        </w:rPr>
        <w:t>) for legal and $</w:t>
      </w:r>
      <w:r w:rsidR="00BC5D1B" w:rsidRPr="00BC5D1B">
        <w:rPr>
          <w:sz w:val="20"/>
        </w:rPr>
        <w:t>27</w:t>
      </w:r>
      <w:r w:rsidR="00D126E3" w:rsidRPr="00BC5D1B">
        <w:rPr>
          <w:sz w:val="20"/>
        </w:rPr>
        <w:t>,</w:t>
      </w:r>
      <w:r w:rsidR="00BC5D1B" w:rsidRPr="00BC5D1B">
        <w:rPr>
          <w:sz w:val="20"/>
        </w:rPr>
        <w:t>030</w:t>
      </w:r>
      <w:r w:rsidRPr="00BC5D1B">
        <w:rPr>
          <w:sz w:val="20"/>
        </w:rPr>
        <w:t xml:space="preserve"> (20</w:t>
      </w:r>
      <w:r w:rsidR="008F395F" w:rsidRPr="00BC5D1B">
        <w:rPr>
          <w:sz w:val="20"/>
        </w:rPr>
        <w:t>2</w:t>
      </w:r>
      <w:r w:rsidR="0029767C" w:rsidRPr="00BC5D1B">
        <w:rPr>
          <w:sz w:val="20"/>
        </w:rPr>
        <w:t>3</w:t>
      </w:r>
      <w:r w:rsidRPr="005840CF">
        <w:rPr>
          <w:sz w:val="20"/>
        </w:rPr>
        <w:t xml:space="preserve"> - $</w:t>
      </w:r>
      <w:r w:rsidR="0029767C">
        <w:rPr>
          <w:sz w:val="20"/>
        </w:rPr>
        <w:t>25</w:t>
      </w:r>
      <w:r w:rsidR="00EF516D" w:rsidRPr="005840CF">
        <w:rPr>
          <w:sz w:val="20"/>
        </w:rPr>
        <w:t>,</w:t>
      </w:r>
      <w:r w:rsidR="0029767C">
        <w:rPr>
          <w:sz w:val="20"/>
        </w:rPr>
        <w:t>003</w:t>
      </w:r>
      <w:r w:rsidR="005F2390" w:rsidRPr="005840CF">
        <w:rPr>
          <w:sz w:val="20"/>
        </w:rPr>
        <w:t>)</w:t>
      </w:r>
      <w:r w:rsidR="008C2F43" w:rsidRPr="005840CF">
        <w:rPr>
          <w:sz w:val="20"/>
        </w:rPr>
        <w:t xml:space="preserve"> for audit and accounting fees</w:t>
      </w:r>
      <w:r w:rsidR="001C67DA" w:rsidRPr="005840CF">
        <w:rPr>
          <w:sz w:val="20"/>
        </w:rPr>
        <w:t xml:space="preserve">. </w:t>
      </w:r>
      <w:r w:rsidR="0025298D" w:rsidRPr="005840CF">
        <w:rPr>
          <w:sz w:val="20"/>
        </w:rPr>
        <w:t xml:space="preserve">Current </w:t>
      </w:r>
      <w:r w:rsidR="00CD14DA" w:rsidRPr="005840CF">
        <w:rPr>
          <w:sz w:val="20"/>
        </w:rPr>
        <w:t>period</w:t>
      </w:r>
      <w:r w:rsidR="0025298D" w:rsidRPr="005840CF">
        <w:rPr>
          <w:sz w:val="20"/>
        </w:rPr>
        <w:t xml:space="preserve"> </w:t>
      </w:r>
      <w:r w:rsidR="00BC5D1B">
        <w:rPr>
          <w:sz w:val="20"/>
        </w:rPr>
        <w:t xml:space="preserve">legal </w:t>
      </w:r>
      <w:r w:rsidR="00886226" w:rsidRPr="005840CF">
        <w:rPr>
          <w:sz w:val="20"/>
        </w:rPr>
        <w:t>f</w:t>
      </w:r>
      <w:r w:rsidR="004460A4" w:rsidRPr="005840CF">
        <w:rPr>
          <w:sz w:val="20"/>
        </w:rPr>
        <w:t xml:space="preserve">ees </w:t>
      </w:r>
      <w:r w:rsidR="00B66352" w:rsidRPr="005840CF">
        <w:rPr>
          <w:sz w:val="20"/>
        </w:rPr>
        <w:t>decreased</w:t>
      </w:r>
      <w:r w:rsidR="008B25E9" w:rsidRPr="005840CF">
        <w:rPr>
          <w:sz w:val="20"/>
        </w:rPr>
        <w:t xml:space="preserve"> </w:t>
      </w:r>
      <w:r w:rsidR="005840CF" w:rsidRPr="005840CF">
        <w:rPr>
          <w:sz w:val="20"/>
        </w:rPr>
        <w:t xml:space="preserve">significantly </w:t>
      </w:r>
      <w:r w:rsidR="008B25E9" w:rsidRPr="005840CF">
        <w:rPr>
          <w:sz w:val="20"/>
        </w:rPr>
        <w:t xml:space="preserve">when compared to the prior </w:t>
      </w:r>
      <w:r w:rsidR="00CD14DA" w:rsidRPr="005840CF">
        <w:rPr>
          <w:sz w:val="20"/>
        </w:rPr>
        <w:t xml:space="preserve">comparative period due to </w:t>
      </w:r>
      <w:r w:rsidR="001E4D12">
        <w:rPr>
          <w:sz w:val="20"/>
        </w:rPr>
        <w:t xml:space="preserve">a </w:t>
      </w:r>
      <w:r w:rsidR="005840CF" w:rsidRPr="005840CF">
        <w:rPr>
          <w:sz w:val="20"/>
        </w:rPr>
        <w:t xml:space="preserve">decrease </w:t>
      </w:r>
      <w:r w:rsidR="001E4D12">
        <w:rPr>
          <w:sz w:val="20"/>
        </w:rPr>
        <w:t xml:space="preserve">in business activity in the </w:t>
      </w:r>
      <w:r w:rsidR="005840CF" w:rsidRPr="005840CF">
        <w:rPr>
          <w:sz w:val="20"/>
        </w:rPr>
        <w:t>Company</w:t>
      </w:r>
      <w:r w:rsidR="001E4D12">
        <w:rPr>
          <w:sz w:val="20"/>
        </w:rPr>
        <w:t>.</w:t>
      </w:r>
      <w:r w:rsidR="00BC5D1B">
        <w:rPr>
          <w:sz w:val="20"/>
        </w:rPr>
        <w:t xml:space="preserve"> Current period audit and accounting increased over comparative period due to a timing difference in the receipt of invoices.</w:t>
      </w:r>
      <w:r w:rsidR="00D126E3" w:rsidRPr="005840CF">
        <w:rPr>
          <w:sz w:val="20"/>
        </w:rPr>
        <w:t xml:space="preserve"> </w:t>
      </w:r>
      <w:r w:rsidR="005E146E" w:rsidRPr="005840CF">
        <w:rPr>
          <w:sz w:val="20"/>
        </w:rPr>
        <w:t xml:space="preserve"> </w:t>
      </w:r>
      <w:r w:rsidR="00BE0B6A" w:rsidRPr="005840CF">
        <w:rPr>
          <w:sz w:val="20"/>
        </w:rPr>
        <w:t xml:space="preserve"> </w:t>
      </w:r>
      <w:r w:rsidR="0025298D" w:rsidRPr="005840CF">
        <w:rPr>
          <w:sz w:val="20"/>
        </w:rPr>
        <w:t xml:space="preserve">  </w:t>
      </w:r>
      <w:r w:rsidR="00EF6E79" w:rsidRPr="005840CF">
        <w:rPr>
          <w:sz w:val="20"/>
        </w:rPr>
        <w:t xml:space="preserve"> </w:t>
      </w:r>
      <w:r w:rsidR="008C2F43" w:rsidRPr="005840CF">
        <w:rPr>
          <w:sz w:val="20"/>
        </w:rPr>
        <w:t xml:space="preserve"> </w:t>
      </w:r>
    </w:p>
    <w:p w14:paraId="04D66C41" w14:textId="77777777" w:rsidR="003D7126" w:rsidRDefault="003D7126" w:rsidP="003D7126">
      <w:pPr>
        <w:pStyle w:val="BodyText"/>
        <w:tabs>
          <w:tab w:val="clear" w:pos="720"/>
        </w:tabs>
        <w:jc w:val="both"/>
        <w:rPr>
          <w:sz w:val="20"/>
        </w:rPr>
      </w:pPr>
    </w:p>
    <w:p w14:paraId="3103B6D5" w14:textId="44DE352B" w:rsidR="003D7126" w:rsidRPr="00E16A37" w:rsidRDefault="003D7126" w:rsidP="00D67BCE">
      <w:pPr>
        <w:pStyle w:val="BodyText"/>
        <w:numPr>
          <w:ilvl w:val="0"/>
          <w:numId w:val="1"/>
        </w:numPr>
        <w:tabs>
          <w:tab w:val="clear" w:pos="720"/>
          <w:tab w:val="num" w:pos="360"/>
        </w:tabs>
        <w:ind w:left="360"/>
        <w:jc w:val="both"/>
        <w:rPr>
          <w:sz w:val="20"/>
        </w:rPr>
      </w:pPr>
      <w:r w:rsidRPr="00E16A37">
        <w:rPr>
          <w:sz w:val="20"/>
        </w:rPr>
        <w:t xml:space="preserve">Property </w:t>
      </w:r>
      <w:r w:rsidRPr="000325A9">
        <w:rPr>
          <w:sz w:val="20"/>
        </w:rPr>
        <w:t xml:space="preserve">investigation </w:t>
      </w:r>
      <w:r w:rsidR="00FF10BF">
        <w:rPr>
          <w:sz w:val="20"/>
        </w:rPr>
        <w:t xml:space="preserve">costs </w:t>
      </w:r>
      <w:r w:rsidRPr="0011499B">
        <w:rPr>
          <w:sz w:val="20"/>
        </w:rPr>
        <w:t>of $</w:t>
      </w:r>
      <w:r w:rsidR="0029767C">
        <w:rPr>
          <w:sz w:val="20"/>
        </w:rPr>
        <w:t xml:space="preserve">29,222 </w:t>
      </w:r>
      <w:r w:rsidRPr="0011499B">
        <w:rPr>
          <w:sz w:val="20"/>
        </w:rPr>
        <w:t>(</w:t>
      </w:r>
      <w:r w:rsidRPr="00D96A2B">
        <w:rPr>
          <w:sz w:val="20"/>
        </w:rPr>
        <w:t>20</w:t>
      </w:r>
      <w:r w:rsidR="0007697D" w:rsidRPr="00D96A2B">
        <w:rPr>
          <w:sz w:val="20"/>
        </w:rPr>
        <w:t>2</w:t>
      </w:r>
      <w:r w:rsidR="0029767C">
        <w:rPr>
          <w:sz w:val="20"/>
        </w:rPr>
        <w:t>3</w:t>
      </w:r>
      <w:r w:rsidRPr="00E16A37">
        <w:rPr>
          <w:sz w:val="20"/>
        </w:rPr>
        <w:t xml:space="preserve"> </w:t>
      </w:r>
      <w:r w:rsidR="0029767C">
        <w:rPr>
          <w:sz w:val="20"/>
        </w:rPr>
        <w:t xml:space="preserve">(recovery) </w:t>
      </w:r>
      <w:r w:rsidRPr="00E16A37">
        <w:rPr>
          <w:sz w:val="20"/>
        </w:rPr>
        <w:t>- $</w:t>
      </w:r>
      <w:r w:rsidR="0029767C">
        <w:rPr>
          <w:sz w:val="20"/>
        </w:rPr>
        <w:t>635</w:t>
      </w:r>
      <w:r w:rsidR="00F84B03">
        <w:rPr>
          <w:sz w:val="20"/>
        </w:rPr>
        <w:t>)</w:t>
      </w:r>
      <w:r w:rsidR="00F2294B" w:rsidRPr="00E16A37">
        <w:rPr>
          <w:sz w:val="20"/>
        </w:rPr>
        <w:t xml:space="preserve"> relate to </w:t>
      </w:r>
      <w:r w:rsidR="006B4036" w:rsidRPr="00E16A37">
        <w:rPr>
          <w:sz w:val="20"/>
        </w:rPr>
        <w:t xml:space="preserve">costs incurred to investigate </w:t>
      </w:r>
      <w:r w:rsidR="006237CC" w:rsidRPr="00E16A37">
        <w:rPr>
          <w:sz w:val="20"/>
        </w:rPr>
        <w:t>potential mineral property acquisitions</w:t>
      </w:r>
      <w:r w:rsidR="00F2294B" w:rsidRPr="00E16A37">
        <w:rPr>
          <w:sz w:val="20"/>
        </w:rPr>
        <w:t>.</w:t>
      </w:r>
    </w:p>
    <w:p w14:paraId="7689CC36" w14:textId="77777777" w:rsidR="00E61724" w:rsidRPr="00F2294B" w:rsidRDefault="00E61724" w:rsidP="00E61724">
      <w:pPr>
        <w:pStyle w:val="BodyText"/>
        <w:tabs>
          <w:tab w:val="clear" w:pos="720"/>
        </w:tabs>
        <w:jc w:val="both"/>
        <w:rPr>
          <w:sz w:val="20"/>
        </w:rPr>
      </w:pPr>
    </w:p>
    <w:p w14:paraId="1F6C34B9" w14:textId="7690103A" w:rsidR="008E1ABC" w:rsidRPr="004155BE" w:rsidRDefault="008E1ABC" w:rsidP="00D67BCE">
      <w:pPr>
        <w:pStyle w:val="BodyText"/>
        <w:numPr>
          <w:ilvl w:val="0"/>
          <w:numId w:val="1"/>
        </w:numPr>
        <w:tabs>
          <w:tab w:val="clear" w:pos="720"/>
          <w:tab w:val="num" w:pos="360"/>
        </w:tabs>
        <w:ind w:left="360"/>
        <w:jc w:val="both"/>
        <w:rPr>
          <w:sz w:val="20"/>
        </w:rPr>
      </w:pPr>
      <w:r w:rsidRPr="006A4547">
        <w:rPr>
          <w:sz w:val="20"/>
        </w:rPr>
        <w:t xml:space="preserve">Registration and filing </w:t>
      </w:r>
      <w:r w:rsidRPr="00D96A2B">
        <w:rPr>
          <w:sz w:val="20"/>
        </w:rPr>
        <w:t xml:space="preserve">fees </w:t>
      </w:r>
      <w:r w:rsidRPr="0011499B">
        <w:rPr>
          <w:sz w:val="20"/>
        </w:rPr>
        <w:t>of $</w:t>
      </w:r>
      <w:r w:rsidR="005C598C">
        <w:rPr>
          <w:sz w:val="20"/>
        </w:rPr>
        <w:t>18</w:t>
      </w:r>
      <w:r w:rsidR="00EF516D" w:rsidRPr="0011499B">
        <w:rPr>
          <w:sz w:val="20"/>
        </w:rPr>
        <w:t>,</w:t>
      </w:r>
      <w:r w:rsidR="005C598C">
        <w:rPr>
          <w:sz w:val="20"/>
        </w:rPr>
        <w:t>769</w:t>
      </w:r>
      <w:r w:rsidRPr="0011499B">
        <w:rPr>
          <w:sz w:val="20"/>
        </w:rPr>
        <w:t xml:space="preserve"> (20</w:t>
      </w:r>
      <w:r w:rsidR="0007697D" w:rsidRPr="0011499B">
        <w:rPr>
          <w:sz w:val="20"/>
        </w:rPr>
        <w:t>2</w:t>
      </w:r>
      <w:r w:rsidR="005C598C">
        <w:rPr>
          <w:sz w:val="20"/>
        </w:rPr>
        <w:t>3</w:t>
      </w:r>
      <w:r w:rsidRPr="00DA024D">
        <w:rPr>
          <w:sz w:val="20"/>
        </w:rPr>
        <w:t xml:space="preserve"> - $</w:t>
      </w:r>
      <w:r w:rsidR="005C598C">
        <w:rPr>
          <w:sz w:val="20"/>
        </w:rPr>
        <w:t>16,034</w:t>
      </w:r>
      <w:r w:rsidR="007738C1">
        <w:rPr>
          <w:sz w:val="20"/>
        </w:rPr>
        <w:t>)</w:t>
      </w:r>
      <w:r w:rsidRPr="00F2294B">
        <w:rPr>
          <w:sz w:val="20"/>
        </w:rPr>
        <w:t xml:space="preserve"> consist of ongoing regulatory fees associated with maintaining public company profile and status.</w:t>
      </w:r>
      <w:r w:rsidR="006237CC">
        <w:rPr>
          <w:sz w:val="20"/>
        </w:rPr>
        <w:t xml:space="preserve"> </w:t>
      </w:r>
      <w:r w:rsidR="006639E9">
        <w:rPr>
          <w:sz w:val="20"/>
        </w:rPr>
        <w:t xml:space="preserve"> </w:t>
      </w:r>
      <w:r w:rsidR="00FA448D" w:rsidRPr="004155BE">
        <w:rPr>
          <w:sz w:val="20"/>
        </w:rPr>
        <w:t xml:space="preserve"> </w:t>
      </w:r>
      <w:r w:rsidR="006237CC" w:rsidRPr="004155BE">
        <w:rPr>
          <w:sz w:val="20"/>
        </w:rPr>
        <w:t xml:space="preserve"> </w:t>
      </w:r>
      <w:r w:rsidR="007738C1" w:rsidRPr="004155BE">
        <w:rPr>
          <w:sz w:val="20"/>
        </w:rPr>
        <w:t xml:space="preserve"> </w:t>
      </w:r>
      <w:r w:rsidR="00F2294B" w:rsidRPr="004155BE">
        <w:rPr>
          <w:sz w:val="20"/>
        </w:rPr>
        <w:t xml:space="preserve">  </w:t>
      </w:r>
    </w:p>
    <w:p w14:paraId="53091D50" w14:textId="474585C2" w:rsidR="00DF4B77" w:rsidRPr="00195975" w:rsidRDefault="009D1E89" w:rsidP="00D67BCE">
      <w:pPr>
        <w:pStyle w:val="BodyText"/>
        <w:numPr>
          <w:ilvl w:val="0"/>
          <w:numId w:val="1"/>
        </w:numPr>
        <w:tabs>
          <w:tab w:val="clear" w:pos="720"/>
          <w:tab w:val="num" w:pos="360"/>
        </w:tabs>
        <w:ind w:left="360"/>
        <w:jc w:val="both"/>
        <w:rPr>
          <w:sz w:val="20"/>
        </w:rPr>
      </w:pPr>
      <w:r w:rsidRPr="000325A9">
        <w:rPr>
          <w:sz w:val="20"/>
        </w:rPr>
        <w:lastRenderedPageBreak/>
        <w:t xml:space="preserve">Shareholder </w:t>
      </w:r>
      <w:r w:rsidRPr="00D96A2B">
        <w:rPr>
          <w:sz w:val="20"/>
        </w:rPr>
        <w:t xml:space="preserve">costs </w:t>
      </w:r>
      <w:r w:rsidRPr="0011499B">
        <w:rPr>
          <w:sz w:val="20"/>
        </w:rPr>
        <w:t>of $</w:t>
      </w:r>
      <w:r w:rsidR="005C598C">
        <w:rPr>
          <w:sz w:val="20"/>
        </w:rPr>
        <w:t>15</w:t>
      </w:r>
      <w:r w:rsidR="00E307DB" w:rsidRPr="0011499B">
        <w:rPr>
          <w:sz w:val="20"/>
        </w:rPr>
        <w:t>,</w:t>
      </w:r>
      <w:r w:rsidR="005C598C">
        <w:rPr>
          <w:sz w:val="20"/>
        </w:rPr>
        <w:t>405</w:t>
      </w:r>
      <w:r w:rsidR="00E307DB" w:rsidRPr="0011499B">
        <w:rPr>
          <w:sz w:val="20"/>
        </w:rPr>
        <w:t xml:space="preserve"> </w:t>
      </w:r>
      <w:r w:rsidR="00FA448D" w:rsidRPr="0011499B">
        <w:rPr>
          <w:sz w:val="20"/>
        </w:rPr>
        <w:t>(20</w:t>
      </w:r>
      <w:r w:rsidR="00EE0D05" w:rsidRPr="0011499B">
        <w:rPr>
          <w:sz w:val="20"/>
        </w:rPr>
        <w:t>2</w:t>
      </w:r>
      <w:r w:rsidR="005C598C">
        <w:rPr>
          <w:sz w:val="20"/>
        </w:rPr>
        <w:t>3</w:t>
      </w:r>
      <w:r w:rsidRPr="000325A9">
        <w:rPr>
          <w:sz w:val="20"/>
        </w:rPr>
        <w:t xml:space="preserve"> - $</w:t>
      </w:r>
      <w:r w:rsidR="005C598C">
        <w:rPr>
          <w:sz w:val="20"/>
        </w:rPr>
        <w:t>8</w:t>
      </w:r>
      <w:r w:rsidR="00BC197B">
        <w:rPr>
          <w:sz w:val="20"/>
        </w:rPr>
        <w:t>,</w:t>
      </w:r>
      <w:r w:rsidR="005C598C">
        <w:rPr>
          <w:sz w:val="20"/>
        </w:rPr>
        <w:t>207</w:t>
      </w:r>
      <w:r w:rsidR="00AF0D9B">
        <w:rPr>
          <w:sz w:val="20"/>
        </w:rPr>
        <w:t>)</w:t>
      </w:r>
      <w:r w:rsidRPr="000325A9">
        <w:rPr>
          <w:sz w:val="20"/>
        </w:rPr>
        <w:t xml:space="preserve"> are related to </w:t>
      </w:r>
      <w:r w:rsidR="00E432F7" w:rsidRPr="000325A9">
        <w:rPr>
          <w:sz w:val="20"/>
        </w:rPr>
        <w:t>th</w:t>
      </w:r>
      <w:r w:rsidRPr="000325A9">
        <w:rPr>
          <w:sz w:val="20"/>
        </w:rPr>
        <w:t xml:space="preserve">e </w:t>
      </w:r>
      <w:r w:rsidR="00A45260" w:rsidRPr="000325A9">
        <w:rPr>
          <w:sz w:val="20"/>
        </w:rPr>
        <w:t xml:space="preserve">dissemination of </w:t>
      </w:r>
      <w:r w:rsidR="00E432F7" w:rsidRPr="000325A9">
        <w:rPr>
          <w:sz w:val="20"/>
        </w:rPr>
        <w:t>AGM materials</w:t>
      </w:r>
      <w:r w:rsidR="003A4280" w:rsidRPr="000325A9">
        <w:rPr>
          <w:sz w:val="20"/>
        </w:rPr>
        <w:t xml:space="preserve">, </w:t>
      </w:r>
      <w:r w:rsidR="00A45260" w:rsidRPr="000325A9">
        <w:rPr>
          <w:sz w:val="20"/>
        </w:rPr>
        <w:t>press releases</w:t>
      </w:r>
      <w:r w:rsidR="003A4280" w:rsidRPr="000325A9">
        <w:rPr>
          <w:sz w:val="20"/>
        </w:rPr>
        <w:t xml:space="preserve"> and other information</w:t>
      </w:r>
      <w:r w:rsidR="00A45260" w:rsidRPr="000325A9">
        <w:rPr>
          <w:sz w:val="20"/>
        </w:rPr>
        <w:t>.</w:t>
      </w:r>
      <w:r w:rsidR="00113A07">
        <w:rPr>
          <w:sz w:val="20"/>
        </w:rPr>
        <w:t xml:space="preserve"> </w:t>
      </w:r>
      <w:r w:rsidR="005C598C" w:rsidRPr="009A3D42">
        <w:rPr>
          <w:sz w:val="20"/>
        </w:rPr>
        <w:t xml:space="preserve">The current period costs are higher due to the Company’s legal counsel coordinating and setting up the AGM for the current period.  </w:t>
      </w:r>
      <w:r w:rsidR="00F6291D" w:rsidRPr="00195975">
        <w:rPr>
          <w:sz w:val="20"/>
        </w:rPr>
        <w:t xml:space="preserve"> </w:t>
      </w:r>
      <w:r w:rsidR="007738C1" w:rsidRPr="00195975">
        <w:rPr>
          <w:sz w:val="20"/>
        </w:rPr>
        <w:t xml:space="preserve"> </w:t>
      </w:r>
      <w:r w:rsidR="003A4280" w:rsidRPr="00195975">
        <w:rPr>
          <w:sz w:val="20"/>
        </w:rPr>
        <w:t xml:space="preserve"> </w:t>
      </w:r>
      <w:r w:rsidR="00E432F7" w:rsidRPr="00195975">
        <w:rPr>
          <w:sz w:val="20"/>
        </w:rPr>
        <w:t xml:space="preserve"> </w:t>
      </w:r>
      <w:r w:rsidR="00A45260" w:rsidRPr="00195975">
        <w:rPr>
          <w:sz w:val="20"/>
        </w:rPr>
        <w:t xml:space="preserve"> </w:t>
      </w:r>
      <w:r w:rsidR="000314F0" w:rsidRPr="00195975">
        <w:rPr>
          <w:sz w:val="20"/>
        </w:rPr>
        <w:t xml:space="preserve"> </w:t>
      </w:r>
    </w:p>
    <w:p w14:paraId="1FB67B07" w14:textId="77777777" w:rsidR="00594303" w:rsidRPr="00594303" w:rsidRDefault="00594303" w:rsidP="00594303">
      <w:pPr>
        <w:pStyle w:val="BodyText"/>
        <w:tabs>
          <w:tab w:val="clear" w:pos="720"/>
        </w:tabs>
        <w:jc w:val="both"/>
        <w:rPr>
          <w:sz w:val="20"/>
          <w:highlight w:val="yellow"/>
        </w:rPr>
      </w:pPr>
    </w:p>
    <w:p w14:paraId="369A83C6" w14:textId="404B4D47" w:rsidR="000314F0" w:rsidRDefault="000314F0" w:rsidP="00D67BCE">
      <w:pPr>
        <w:pStyle w:val="BodyText"/>
        <w:numPr>
          <w:ilvl w:val="0"/>
          <w:numId w:val="1"/>
        </w:numPr>
        <w:tabs>
          <w:tab w:val="clear" w:pos="720"/>
          <w:tab w:val="num" w:pos="360"/>
        </w:tabs>
        <w:ind w:left="360"/>
        <w:jc w:val="both"/>
        <w:rPr>
          <w:sz w:val="20"/>
        </w:rPr>
      </w:pPr>
      <w:r w:rsidRPr="000314F0">
        <w:rPr>
          <w:sz w:val="20"/>
        </w:rPr>
        <w:t xml:space="preserve">Share-based </w:t>
      </w:r>
      <w:r w:rsidRPr="00D64BBD">
        <w:rPr>
          <w:sz w:val="20"/>
        </w:rPr>
        <w:t>compensation</w:t>
      </w:r>
      <w:r w:rsidR="00DD2FC4">
        <w:rPr>
          <w:sz w:val="20"/>
        </w:rPr>
        <w:t>, a non</w:t>
      </w:r>
      <w:r w:rsidR="00DD2FC4" w:rsidRPr="00DA024D">
        <w:rPr>
          <w:sz w:val="20"/>
        </w:rPr>
        <w:t>-</w:t>
      </w:r>
      <w:r w:rsidR="00DD2FC4" w:rsidRPr="00BC09F8">
        <w:rPr>
          <w:sz w:val="20"/>
        </w:rPr>
        <w:t xml:space="preserve">cash </w:t>
      </w:r>
      <w:r w:rsidR="00DD2FC4" w:rsidRPr="000325A9">
        <w:rPr>
          <w:sz w:val="20"/>
        </w:rPr>
        <w:t>expense,</w:t>
      </w:r>
      <w:r w:rsidRPr="000325A9">
        <w:rPr>
          <w:sz w:val="20"/>
        </w:rPr>
        <w:t xml:space="preserve"> </w:t>
      </w:r>
      <w:r w:rsidRPr="0011499B">
        <w:rPr>
          <w:sz w:val="20"/>
        </w:rPr>
        <w:t>of $</w:t>
      </w:r>
      <w:r w:rsidR="005C598C">
        <w:rPr>
          <w:sz w:val="20"/>
        </w:rPr>
        <w:t>Nil</w:t>
      </w:r>
      <w:r w:rsidR="006639E9" w:rsidRPr="0011499B">
        <w:rPr>
          <w:sz w:val="20"/>
        </w:rPr>
        <w:t xml:space="preserve"> </w:t>
      </w:r>
      <w:r w:rsidRPr="0011499B">
        <w:rPr>
          <w:sz w:val="20"/>
        </w:rPr>
        <w:t>(20</w:t>
      </w:r>
      <w:r w:rsidR="00EE0D05" w:rsidRPr="0011499B">
        <w:rPr>
          <w:sz w:val="20"/>
        </w:rPr>
        <w:t>2</w:t>
      </w:r>
      <w:r w:rsidR="005C598C">
        <w:rPr>
          <w:sz w:val="20"/>
        </w:rPr>
        <w:t>3</w:t>
      </w:r>
      <w:r w:rsidRPr="00E307DB">
        <w:rPr>
          <w:sz w:val="20"/>
        </w:rPr>
        <w:t xml:space="preserve"> - $</w:t>
      </w:r>
      <w:r w:rsidR="005C598C">
        <w:rPr>
          <w:sz w:val="20"/>
        </w:rPr>
        <w:t>9</w:t>
      </w:r>
      <w:r w:rsidR="00BC197B">
        <w:rPr>
          <w:sz w:val="20"/>
        </w:rPr>
        <w:t>,</w:t>
      </w:r>
      <w:r w:rsidR="005C598C">
        <w:rPr>
          <w:sz w:val="20"/>
        </w:rPr>
        <w:t>797</w:t>
      </w:r>
      <w:r w:rsidR="007738C1">
        <w:rPr>
          <w:sz w:val="20"/>
        </w:rPr>
        <w:t>)</w:t>
      </w:r>
      <w:r w:rsidRPr="000314F0">
        <w:rPr>
          <w:sz w:val="20"/>
        </w:rPr>
        <w:t xml:space="preserve"> </w:t>
      </w:r>
      <w:r w:rsidR="00DD2FC4">
        <w:rPr>
          <w:sz w:val="20"/>
        </w:rPr>
        <w:t xml:space="preserve">was recognized </w:t>
      </w:r>
      <w:r w:rsidRPr="000314F0">
        <w:rPr>
          <w:sz w:val="20"/>
        </w:rPr>
        <w:t xml:space="preserve">on stock options that vested </w:t>
      </w:r>
      <w:r w:rsidRPr="00DA024D">
        <w:rPr>
          <w:sz w:val="20"/>
        </w:rPr>
        <w:t xml:space="preserve">during the </w:t>
      </w:r>
      <w:r w:rsidR="00BC197B">
        <w:rPr>
          <w:sz w:val="20"/>
        </w:rPr>
        <w:t>period</w:t>
      </w:r>
      <w:r w:rsidRPr="00DA024D">
        <w:rPr>
          <w:sz w:val="20"/>
        </w:rPr>
        <w:t>.</w:t>
      </w:r>
      <w:r w:rsidR="00D64BBD" w:rsidRPr="00DA024D">
        <w:rPr>
          <w:sz w:val="20"/>
        </w:rPr>
        <w:t xml:space="preserve">   </w:t>
      </w:r>
    </w:p>
    <w:p w14:paraId="36CBB678" w14:textId="77777777" w:rsidR="005C598C" w:rsidRPr="00DA024D" w:rsidRDefault="005C598C" w:rsidP="005C598C">
      <w:pPr>
        <w:pStyle w:val="BodyText"/>
        <w:tabs>
          <w:tab w:val="clear" w:pos="720"/>
        </w:tabs>
        <w:jc w:val="both"/>
        <w:rPr>
          <w:sz w:val="20"/>
        </w:rPr>
      </w:pPr>
    </w:p>
    <w:p w14:paraId="78F7FC83" w14:textId="4DBF7E44" w:rsidR="00DF4B77" w:rsidRPr="00E86693" w:rsidRDefault="00DF4B77" w:rsidP="00D67BCE">
      <w:pPr>
        <w:pStyle w:val="BodyText"/>
        <w:numPr>
          <w:ilvl w:val="0"/>
          <w:numId w:val="1"/>
        </w:numPr>
        <w:tabs>
          <w:tab w:val="clear" w:pos="720"/>
          <w:tab w:val="num" w:pos="360"/>
        </w:tabs>
        <w:ind w:left="360"/>
        <w:jc w:val="both"/>
        <w:rPr>
          <w:sz w:val="20"/>
        </w:rPr>
      </w:pPr>
      <w:r w:rsidRPr="007835FB">
        <w:rPr>
          <w:sz w:val="20"/>
        </w:rPr>
        <w:t xml:space="preserve">Transfer </w:t>
      </w:r>
      <w:r w:rsidRPr="00D96A2B">
        <w:rPr>
          <w:sz w:val="20"/>
        </w:rPr>
        <w:t xml:space="preserve">agent fees of </w:t>
      </w:r>
      <w:r w:rsidRPr="0011499B">
        <w:rPr>
          <w:sz w:val="20"/>
        </w:rPr>
        <w:t>$</w:t>
      </w:r>
      <w:r w:rsidR="005C598C">
        <w:rPr>
          <w:sz w:val="20"/>
        </w:rPr>
        <w:t>3,698</w:t>
      </w:r>
      <w:r w:rsidR="00F526BB" w:rsidRPr="0011499B">
        <w:rPr>
          <w:sz w:val="20"/>
        </w:rPr>
        <w:t xml:space="preserve"> </w:t>
      </w:r>
      <w:r w:rsidRPr="0011499B">
        <w:rPr>
          <w:sz w:val="20"/>
        </w:rPr>
        <w:t>(20</w:t>
      </w:r>
      <w:r w:rsidR="00EE0D05" w:rsidRPr="0011499B">
        <w:rPr>
          <w:sz w:val="20"/>
        </w:rPr>
        <w:t>2</w:t>
      </w:r>
      <w:r w:rsidR="005C598C">
        <w:rPr>
          <w:sz w:val="20"/>
        </w:rPr>
        <w:t>3</w:t>
      </w:r>
      <w:r w:rsidRPr="00D96A2B">
        <w:rPr>
          <w:sz w:val="20"/>
        </w:rPr>
        <w:t xml:space="preserve"> -</w:t>
      </w:r>
      <w:r w:rsidRPr="00E307DB">
        <w:rPr>
          <w:sz w:val="20"/>
        </w:rPr>
        <w:t xml:space="preserve"> $</w:t>
      </w:r>
      <w:r w:rsidR="005C598C">
        <w:rPr>
          <w:sz w:val="20"/>
        </w:rPr>
        <w:t>4</w:t>
      </w:r>
      <w:r w:rsidR="00EE0D05" w:rsidRPr="00E307DB">
        <w:rPr>
          <w:sz w:val="20"/>
        </w:rPr>
        <w:t>,</w:t>
      </w:r>
      <w:r w:rsidR="005C598C">
        <w:rPr>
          <w:sz w:val="20"/>
        </w:rPr>
        <w:t>040</w:t>
      </w:r>
      <w:r w:rsidR="00EE0D05" w:rsidRPr="00E86693">
        <w:rPr>
          <w:sz w:val="20"/>
        </w:rPr>
        <w:t>)</w:t>
      </w:r>
      <w:r w:rsidR="00B05987">
        <w:rPr>
          <w:sz w:val="20"/>
        </w:rPr>
        <w:t xml:space="preserve"> </w:t>
      </w:r>
      <w:r w:rsidR="0011499B">
        <w:rPr>
          <w:sz w:val="20"/>
        </w:rPr>
        <w:t>decreased</w:t>
      </w:r>
      <w:r w:rsidR="00B05987">
        <w:rPr>
          <w:sz w:val="20"/>
        </w:rPr>
        <w:t xml:space="preserve"> over the comparative period due to a transition to a new transfer agent</w:t>
      </w:r>
      <w:r w:rsidR="0011499B">
        <w:rPr>
          <w:sz w:val="20"/>
        </w:rPr>
        <w:t xml:space="preserve"> which provided services at a lower cost</w:t>
      </w:r>
      <w:r w:rsidR="000325A9">
        <w:rPr>
          <w:sz w:val="20"/>
        </w:rPr>
        <w:t>.</w:t>
      </w:r>
      <w:r w:rsidR="007835FB" w:rsidRPr="00E86693">
        <w:rPr>
          <w:sz w:val="20"/>
        </w:rPr>
        <w:t xml:space="preserve"> </w:t>
      </w:r>
      <w:r w:rsidR="000A2453" w:rsidRPr="00E86693">
        <w:rPr>
          <w:sz w:val="20"/>
        </w:rPr>
        <w:t xml:space="preserve"> </w:t>
      </w:r>
      <w:r w:rsidR="00A517C9" w:rsidRPr="00E86693">
        <w:rPr>
          <w:sz w:val="20"/>
        </w:rPr>
        <w:t xml:space="preserve"> </w:t>
      </w:r>
    </w:p>
    <w:p w14:paraId="5C9F16DD" w14:textId="77777777" w:rsidR="007850D9" w:rsidRPr="007835FB" w:rsidRDefault="007850D9" w:rsidP="00090634">
      <w:pPr>
        <w:pStyle w:val="BodyText"/>
        <w:tabs>
          <w:tab w:val="clear" w:pos="720"/>
        </w:tabs>
        <w:ind w:left="767"/>
        <w:jc w:val="both"/>
        <w:rPr>
          <w:sz w:val="20"/>
        </w:rPr>
      </w:pPr>
    </w:p>
    <w:p w14:paraId="5FF71E21" w14:textId="251A6399" w:rsidR="00B66352" w:rsidRDefault="00DF4B77" w:rsidP="007C39E7">
      <w:pPr>
        <w:pStyle w:val="BodyText"/>
        <w:numPr>
          <w:ilvl w:val="0"/>
          <w:numId w:val="1"/>
        </w:numPr>
        <w:tabs>
          <w:tab w:val="clear" w:pos="720"/>
          <w:tab w:val="num" w:pos="360"/>
        </w:tabs>
        <w:ind w:left="360"/>
        <w:jc w:val="both"/>
        <w:rPr>
          <w:sz w:val="20"/>
        </w:rPr>
      </w:pPr>
      <w:r w:rsidRPr="00B66352">
        <w:rPr>
          <w:sz w:val="20"/>
        </w:rPr>
        <w:t>Travel and related costs of $</w:t>
      </w:r>
      <w:r w:rsidR="00B66352" w:rsidRPr="00B66352">
        <w:rPr>
          <w:sz w:val="20"/>
        </w:rPr>
        <w:t>6</w:t>
      </w:r>
      <w:r w:rsidR="00113A07" w:rsidRPr="00B66352">
        <w:rPr>
          <w:sz w:val="20"/>
        </w:rPr>
        <w:t xml:space="preserve"> </w:t>
      </w:r>
      <w:r w:rsidRPr="00B66352">
        <w:rPr>
          <w:sz w:val="20"/>
        </w:rPr>
        <w:t>(20</w:t>
      </w:r>
      <w:r w:rsidR="00EE0D05" w:rsidRPr="00B66352">
        <w:rPr>
          <w:sz w:val="20"/>
        </w:rPr>
        <w:t>2</w:t>
      </w:r>
      <w:r w:rsidR="005C598C">
        <w:rPr>
          <w:sz w:val="20"/>
        </w:rPr>
        <w:t>3</w:t>
      </w:r>
      <w:r w:rsidRPr="00B66352">
        <w:rPr>
          <w:sz w:val="20"/>
        </w:rPr>
        <w:t xml:space="preserve"> - $</w:t>
      </w:r>
      <w:r w:rsidR="005C598C">
        <w:rPr>
          <w:sz w:val="20"/>
        </w:rPr>
        <w:t>253</w:t>
      </w:r>
      <w:r w:rsidRPr="00B66352">
        <w:rPr>
          <w:sz w:val="20"/>
        </w:rPr>
        <w:t>) relate to directors</w:t>
      </w:r>
      <w:r w:rsidR="00DD2FC4" w:rsidRPr="00B66352">
        <w:rPr>
          <w:sz w:val="20"/>
        </w:rPr>
        <w:t>,</w:t>
      </w:r>
      <w:r w:rsidRPr="00B66352">
        <w:rPr>
          <w:sz w:val="20"/>
        </w:rPr>
        <w:t xml:space="preserve"> officers </w:t>
      </w:r>
      <w:r w:rsidR="000D3121" w:rsidRPr="00B66352">
        <w:rPr>
          <w:sz w:val="20"/>
        </w:rPr>
        <w:t xml:space="preserve">and consultants </w:t>
      </w:r>
      <w:r w:rsidRPr="00B66352">
        <w:rPr>
          <w:sz w:val="20"/>
        </w:rPr>
        <w:t>travel</w:t>
      </w:r>
      <w:r w:rsidR="00231C9D" w:rsidRPr="00B66352">
        <w:rPr>
          <w:sz w:val="20"/>
        </w:rPr>
        <w:t>l</w:t>
      </w:r>
      <w:r w:rsidRPr="00B66352">
        <w:rPr>
          <w:sz w:val="20"/>
        </w:rPr>
        <w:t xml:space="preserve">ing </w:t>
      </w:r>
      <w:r w:rsidR="0060143C" w:rsidRPr="00B66352">
        <w:rPr>
          <w:sz w:val="20"/>
        </w:rPr>
        <w:t>to attend investment conferences</w:t>
      </w:r>
      <w:r w:rsidR="00EF6E79" w:rsidRPr="00B66352">
        <w:rPr>
          <w:sz w:val="20"/>
        </w:rPr>
        <w:t>, increase investor awareness of the Company’s projects</w:t>
      </w:r>
      <w:r w:rsidR="0060143C" w:rsidRPr="00B66352">
        <w:rPr>
          <w:sz w:val="20"/>
        </w:rPr>
        <w:t xml:space="preserve"> and to evaluate </w:t>
      </w:r>
      <w:r w:rsidR="007850D9" w:rsidRPr="00B66352">
        <w:rPr>
          <w:sz w:val="20"/>
        </w:rPr>
        <w:t>potential</w:t>
      </w:r>
      <w:r w:rsidR="0060143C" w:rsidRPr="00B66352">
        <w:rPr>
          <w:sz w:val="20"/>
        </w:rPr>
        <w:t xml:space="preserve"> investment opportunities for the Company.</w:t>
      </w:r>
      <w:r w:rsidR="00473816" w:rsidRPr="00B66352">
        <w:rPr>
          <w:sz w:val="20"/>
        </w:rPr>
        <w:t xml:space="preserve"> </w:t>
      </w:r>
      <w:r w:rsidR="001E4D12">
        <w:rPr>
          <w:sz w:val="20"/>
        </w:rPr>
        <w:t>Current period costs decreased due to the Company’s efforts to con</w:t>
      </w:r>
      <w:r w:rsidR="00A95878">
        <w:rPr>
          <w:sz w:val="20"/>
        </w:rPr>
        <w:t>serve</w:t>
      </w:r>
      <w:r w:rsidR="001E4D12">
        <w:rPr>
          <w:sz w:val="20"/>
        </w:rPr>
        <w:t xml:space="preserve"> its capital resources.  </w:t>
      </w:r>
    </w:p>
    <w:p w14:paraId="268DA0EB" w14:textId="77777777" w:rsidR="00B66352" w:rsidRDefault="00B66352" w:rsidP="00B66352">
      <w:pPr>
        <w:pStyle w:val="BodyText"/>
        <w:tabs>
          <w:tab w:val="clear" w:pos="720"/>
        </w:tabs>
        <w:jc w:val="both"/>
        <w:rPr>
          <w:sz w:val="20"/>
        </w:rPr>
      </w:pPr>
    </w:p>
    <w:p w14:paraId="406F4469" w14:textId="045BEBF6" w:rsidR="00647750" w:rsidRDefault="00DF4B77" w:rsidP="00D67BCE">
      <w:pPr>
        <w:pStyle w:val="BodyText"/>
        <w:numPr>
          <w:ilvl w:val="0"/>
          <w:numId w:val="1"/>
        </w:numPr>
        <w:tabs>
          <w:tab w:val="clear" w:pos="720"/>
          <w:tab w:val="num" w:pos="360"/>
        </w:tabs>
        <w:ind w:left="360"/>
        <w:jc w:val="both"/>
        <w:rPr>
          <w:sz w:val="20"/>
        </w:rPr>
      </w:pPr>
      <w:r w:rsidRPr="009E45FC">
        <w:rPr>
          <w:sz w:val="20"/>
        </w:rPr>
        <w:t>The Company had a foreign exchange</w:t>
      </w:r>
      <w:r w:rsidR="008E468A">
        <w:rPr>
          <w:sz w:val="20"/>
        </w:rPr>
        <w:t xml:space="preserve"> </w:t>
      </w:r>
      <w:r w:rsidR="00B66352">
        <w:rPr>
          <w:sz w:val="20"/>
        </w:rPr>
        <w:t xml:space="preserve">loss </w:t>
      </w:r>
      <w:r w:rsidRPr="00D96A2B">
        <w:rPr>
          <w:sz w:val="20"/>
        </w:rPr>
        <w:t xml:space="preserve">of </w:t>
      </w:r>
      <w:r w:rsidRPr="0011499B">
        <w:rPr>
          <w:sz w:val="20"/>
        </w:rPr>
        <w:t>$</w:t>
      </w:r>
      <w:r w:rsidR="005C598C">
        <w:rPr>
          <w:sz w:val="20"/>
        </w:rPr>
        <w:t>3</w:t>
      </w:r>
      <w:r w:rsidR="00B66352">
        <w:rPr>
          <w:sz w:val="20"/>
        </w:rPr>
        <w:t>,</w:t>
      </w:r>
      <w:r w:rsidR="005C598C">
        <w:rPr>
          <w:sz w:val="20"/>
        </w:rPr>
        <w:t>784</w:t>
      </w:r>
      <w:r w:rsidR="0011499B" w:rsidRPr="0011499B">
        <w:rPr>
          <w:sz w:val="20"/>
        </w:rPr>
        <w:t xml:space="preserve"> </w:t>
      </w:r>
      <w:r w:rsidRPr="0011499B">
        <w:rPr>
          <w:sz w:val="20"/>
        </w:rPr>
        <w:t>(20</w:t>
      </w:r>
      <w:r w:rsidR="00EE0D05" w:rsidRPr="0011499B">
        <w:rPr>
          <w:sz w:val="20"/>
        </w:rPr>
        <w:t>2</w:t>
      </w:r>
      <w:r w:rsidR="005C598C">
        <w:rPr>
          <w:sz w:val="20"/>
        </w:rPr>
        <w:t>3</w:t>
      </w:r>
      <w:r w:rsidR="00BB5FB0" w:rsidRPr="008E14BF">
        <w:rPr>
          <w:sz w:val="20"/>
        </w:rPr>
        <w:t xml:space="preserve"> </w:t>
      </w:r>
      <w:r w:rsidR="00886B28">
        <w:rPr>
          <w:sz w:val="20"/>
        </w:rPr>
        <w:t>–</w:t>
      </w:r>
      <w:r w:rsidR="00B6251D" w:rsidRPr="008E14BF">
        <w:rPr>
          <w:sz w:val="20"/>
        </w:rPr>
        <w:t xml:space="preserve"> </w:t>
      </w:r>
      <w:r w:rsidR="00B66352">
        <w:rPr>
          <w:sz w:val="20"/>
        </w:rPr>
        <w:t xml:space="preserve">gain of </w:t>
      </w:r>
      <w:r w:rsidRPr="008E14BF">
        <w:rPr>
          <w:sz w:val="20"/>
        </w:rPr>
        <w:t>$</w:t>
      </w:r>
      <w:r w:rsidR="005C598C">
        <w:rPr>
          <w:sz w:val="20"/>
        </w:rPr>
        <w:t>11</w:t>
      </w:r>
      <w:r w:rsidR="00062F12">
        <w:rPr>
          <w:sz w:val="20"/>
        </w:rPr>
        <w:t>,</w:t>
      </w:r>
      <w:r w:rsidR="005C598C">
        <w:rPr>
          <w:sz w:val="20"/>
        </w:rPr>
        <w:t>482</w:t>
      </w:r>
      <w:r w:rsidR="00347883">
        <w:rPr>
          <w:sz w:val="20"/>
        </w:rPr>
        <w:t>)</w:t>
      </w:r>
      <w:r w:rsidR="009D5EFB">
        <w:rPr>
          <w:sz w:val="20"/>
        </w:rPr>
        <w:t xml:space="preserve"> </w:t>
      </w:r>
      <w:r w:rsidR="00F34BEA" w:rsidRPr="00F637F5">
        <w:rPr>
          <w:sz w:val="20"/>
        </w:rPr>
        <w:t>related</w:t>
      </w:r>
      <w:r w:rsidR="00F34BEA">
        <w:rPr>
          <w:sz w:val="20"/>
        </w:rPr>
        <w:t xml:space="preserve"> to the conversion of various transactions </w:t>
      </w:r>
      <w:r w:rsidR="001C67DA">
        <w:rPr>
          <w:sz w:val="20"/>
        </w:rPr>
        <w:t>in</w:t>
      </w:r>
      <w:r w:rsidR="00F34BEA">
        <w:rPr>
          <w:sz w:val="20"/>
        </w:rPr>
        <w:t xml:space="preserve"> US Dollars and Swiss Francs to Canadian Dollars</w:t>
      </w:r>
      <w:r w:rsidR="00CA2AA4">
        <w:rPr>
          <w:sz w:val="20"/>
        </w:rPr>
        <w:t>.</w:t>
      </w:r>
      <w:r w:rsidR="009D46F0">
        <w:rPr>
          <w:sz w:val="20"/>
        </w:rPr>
        <w:t xml:space="preserve"> </w:t>
      </w:r>
      <w:r w:rsidR="00C20FEB" w:rsidRPr="009E45FC">
        <w:rPr>
          <w:sz w:val="20"/>
        </w:rPr>
        <w:t xml:space="preserve"> </w:t>
      </w:r>
    </w:p>
    <w:p w14:paraId="2180CE62" w14:textId="77777777" w:rsidR="00174F4A" w:rsidRDefault="00174F4A" w:rsidP="00174F4A">
      <w:pPr>
        <w:pStyle w:val="ListParagraph"/>
        <w:rPr>
          <w:sz w:val="20"/>
        </w:rPr>
      </w:pPr>
    </w:p>
    <w:p w14:paraId="29B94BF0" w14:textId="54D93ADA" w:rsidR="00F7535D" w:rsidRDefault="00A517C9" w:rsidP="00D67BCE">
      <w:pPr>
        <w:pStyle w:val="BodyText"/>
        <w:numPr>
          <w:ilvl w:val="0"/>
          <w:numId w:val="1"/>
        </w:numPr>
        <w:tabs>
          <w:tab w:val="clear" w:pos="720"/>
          <w:tab w:val="num" w:pos="360"/>
        </w:tabs>
        <w:ind w:left="360"/>
        <w:jc w:val="both"/>
        <w:rPr>
          <w:sz w:val="20"/>
        </w:rPr>
      </w:pPr>
      <w:r w:rsidRPr="00E307DB">
        <w:rPr>
          <w:sz w:val="20"/>
        </w:rPr>
        <w:t xml:space="preserve">Interest </w:t>
      </w:r>
      <w:r w:rsidRPr="0011499B">
        <w:rPr>
          <w:sz w:val="20"/>
        </w:rPr>
        <w:t>income of $</w:t>
      </w:r>
      <w:r w:rsidR="005C598C">
        <w:rPr>
          <w:sz w:val="20"/>
        </w:rPr>
        <w:t>8</w:t>
      </w:r>
      <w:r w:rsidRPr="0011499B">
        <w:rPr>
          <w:sz w:val="20"/>
        </w:rPr>
        <w:t xml:space="preserve"> (20</w:t>
      </w:r>
      <w:r w:rsidR="00EE0D05" w:rsidRPr="0011499B">
        <w:rPr>
          <w:sz w:val="20"/>
        </w:rPr>
        <w:t>2</w:t>
      </w:r>
      <w:r w:rsidR="005C598C">
        <w:rPr>
          <w:sz w:val="20"/>
        </w:rPr>
        <w:t>3</w:t>
      </w:r>
      <w:r w:rsidRPr="00E307DB">
        <w:rPr>
          <w:sz w:val="20"/>
        </w:rPr>
        <w:t xml:space="preserve"> - $</w:t>
      </w:r>
      <w:r w:rsidR="005C598C">
        <w:rPr>
          <w:sz w:val="20"/>
        </w:rPr>
        <w:t>3</w:t>
      </w:r>
      <w:r w:rsidR="00B66352">
        <w:rPr>
          <w:sz w:val="20"/>
        </w:rPr>
        <w:t>,</w:t>
      </w:r>
      <w:r w:rsidR="005C598C">
        <w:rPr>
          <w:sz w:val="20"/>
        </w:rPr>
        <w:t>160</w:t>
      </w:r>
      <w:r w:rsidRPr="00E307DB">
        <w:rPr>
          <w:sz w:val="20"/>
        </w:rPr>
        <w:t>) is earned</w:t>
      </w:r>
      <w:r>
        <w:rPr>
          <w:sz w:val="20"/>
        </w:rPr>
        <w:t xml:space="preserve"> on excess funds invested in short term guaranteed investment certificates</w:t>
      </w:r>
      <w:r w:rsidR="00072157">
        <w:rPr>
          <w:sz w:val="20"/>
        </w:rPr>
        <w:t>.</w:t>
      </w:r>
      <w:r w:rsidR="00195975">
        <w:rPr>
          <w:sz w:val="20"/>
        </w:rPr>
        <w:t xml:space="preserve"> </w:t>
      </w:r>
    </w:p>
    <w:p w14:paraId="1D4CC544" w14:textId="77777777" w:rsidR="00E307DB" w:rsidRDefault="00E307DB" w:rsidP="00E307DB">
      <w:pPr>
        <w:pStyle w:val="ListParagraph"/>
        <w:rPr>
          <w:sz w:val="20"/>
        </w:rPr>
      </w:pPr>
    </w:p>
    <w:p w14:paraId="1F87789D" w14:textId="5151A759" w:rsidR="00944B43" w:rsidRPr="00EE0D05" w:rsidRDefault="00944B43" w:rsidP="00DF4B77">
      <w:pPr>
        <w:pStyle w:val="BodyText"/>
        <w:jc w:val="both"/>
        <w:rPr>
          <w:sz w:val="24"/>
          <w:szCs w:val="24"/>
        </w:rPr>
      </w:pPr>
      <w:r w:rsidRPr="00EE0D05">
        <w:rPr>
          <w:b/>
          <w:sz w:val="24"/>
          <w:szCs w:val="24"/>
        </w:rPr>
        <w:t>Related Pa</w:t>
      </w:r>
      <w:r w:rsidR="00946D7C" w:rsidRPr="00EE0D05">
        <w:rPr>
          <w:b/>
          <w:sz w:val="24"/>
          <w:szCs w:val="24"/>
        </w:rPr>
        <w:t>r</w:t>
      </w:r>
      <w:r w:rsidRPr="00EE0D05">
        <w:rPr>
          <w:b/>
          <w:sz w:val="24"/>
          <w:szCs w:val="24"/>
        </w:rPr>
        <w:t>ty Transactions</w:t>
      </w:r>
      <w:r w:rsidR="009C22F8" w:rsidRPr="00EE0D05">
        <w:rPr>
          <w:b/>
          <w:sz w:val="24"/>
          <w:szCs w:val="24"/>
        </w:rPr>
        <w:t xml:space="preserve"> </w:t>
      </w:r>
    </w:p>
    <w:p w14:paraId="2B2AF19C" w14:textId="77777777" w:rsidR="00944B43" w:rsidRPr="00EE0D05" w:rsidRDefault="00944B43" w:rsidP="00EF0BAD">
      <w:pPr>
        <w:pStyle w:val="BodyText"/>
        <w:jc w:val="both"/>
        <w:rPr>
          <w:sz w:val="20"/>
        </w:rPr>
      </w:pPr>
    </w:p>
    <w:p w14:paraId="7A8B93AC" w14:textId="77777777" w:rsidR="00F34EFC" w:rsidRPr="004A0279" w:rsidRDefault="00F34EFC" w:rsidP="00F34EFC">
      <w:pPr>
        <w:ind w:left="284" w:hanging="284"/>
        <w:jc w:val="both"/>
        <w:rPr>
          <w:bCs/>
        </w:rPr>
      </w:pPr>
      <w:r w:rsidRPr="004A0279">
        <w:rPr>
          <w:bCs/>
        </w:rPr>
        <w:t xml:space="preserve">The Company entered into the following transactions with related parties during the </w:t>
      </w:r>
      <w:r>
        <w:rPr>
          <w:bCs/>
        </w:rPr>
        <w:t>six month period ended February</w:t>
      </w:r>
      <w:r w:rsidRPr="004A0279">
        <w:rPr>
          <w:bCs/>
        </w:rPr>
        <w:t xml:space="preserve"> </w:t>
      </w:r>
      <w:r>
        <w:rPr>
          <w:bCs/>
        </w:rPr>
        <w:t>29</w:t>
      </w:r>
      <w:r w:rsidRPr="004A0279">
        <w:rPr>
          <w:bCs/>
        </w:rPr>
        <w:t>, 20</w:t>
      </w:r>
      <w:r>
        <w:rPr>
          <w:bCs/>
        </w:rPr>
        <w:t>24</w:t>
      </w:r>
      <w:r w:rsidRPr="004A0279">
        <w:rPr>
          <w:bCs/>
        </w:rPr>
        <w:t>:</w:t>
      </w:r>
    </w:p>
    <w:p w14:paraId="57AD17E2" w14:textId="77777777" w:rsidR="00F34EFC" w:rsidRPr="004A0279" w:rsidRDefault="00F34EFC" w:rsidP="00F34EFC">
      <w:pPr>
        <w:ind w:left="284"/>
        <w:jc w:val="both"/>
        <w:rPr>
          <w:b/>
          <w:bCs/>
        </w:rPr>
      </w:pPr>
    </w:p>
    <w:p w14:paraId="267A2753" w14:textId="77777777" w:rsidR="00F34EFC" w:rsidRPr="00F211E2" w:rsidRDefault="00F34EFC" w:rsidP="00F34EFC">
      <w:pPr>
        <w:numPr>
          <w:ilvl w:val="1"/>
          <w:numId w:val="4"/>
        </w:numPr>
        <w:tabs>
          <w:tab w:val="clear" w:pos="2160"/>
          <w:tab w:val="num" w:pos="1080"/>
        </w:tabs>
        <w:overflowPunct w:val="0"/>
        <w:autoSpaceDE w:val="0"/>
        <w:autoSpaceDN w:val="0"/>
        <w:adjustRightInd w:val="0"/>
        <w:ind w:left="284" w:hanging="284"/>
        <w:jc w:val="both"/>
        <w:textAlignment w:val="baseline"/>
      </w:pPr>
      <w:r w:rsidRPr="00F517DC">
        <w:t xml:space="preserve">Paid </w:t>
      </w:r>
      <w:r w:rsidRPr="00E0161D">
        <w:t xml:space="preserve">or </w:t>
      </w:r>
      <w:r w:rsidRPr="00F211E2">
        <w:t>accrued $</w:t>
      </w:r>
      <w:r>
        <w:t>Nil</w:t>
      </w:r>
      <w:r w:rsidRPr="00F211E2">
        <w:t xml:space="preserve"> (202</w:t>
      </w:r>
      <w:r>
        <w:t>3</w:t>
      </w:r>
      <w:r w:rsidRPr="00F211E2">
        <w:t xml:space="preserve"> - $</w:t>
      </w:r>
      <w:r>
        <w:t>177</w:t>
      </w:r>
      <w:r w:rsidRPr="00F211E2">
        <w:t>,</w:t>
      </w:r>
      <w:r>
        <w:t>930</w:t>
      </w:r>
      <w:r w:rsidRPr="00F211E2">
        <w:t xml:space="preserve">) in consulting fees to a director and the former CEO of the Company.   </w:t>
      </w:r>
    </w:p>
    <w:p w14:paraId="3743560C" w14:textId="77777777" w:rsidR="00F34EFC" w:rsidRDefault="00F34EFC" w:rsidP="00F34EFC">
      <w:pPr>
        <w:ind w:left="284"/>
        <w:jc w:val="both"/>
      </w:pPr>
    </w:p>
    <w:p w14:paraId="2D48DB5C" w14:textId="77777777" w:rsidR="00F34EFC" w:rsidRDefault="00F34EFC" w:rsidP="00F34EFC">
      <w:pPr>
        <w:numPr>
          <w:ilvl w:val="0"/>
          <w:numId w:val="31"/>
        </w:numPr>
        <w:overflowPunct w:val="0"/>
        <w:autoSpaceDE w:val="0"/>
        <w:autoSpaceDN w:val="0"/>
        <w:adjustRightInd w:val="0"/>
        <w:ind w:left="284" w:hanging="284"/>
        <w:jc w:val="both"/>
        <w:textAlignment w:val="baseline"/>
      </w:pPr>
      <w:r w:rsidRPr="00086271">
        <w:t xml:space="preserve">Paid or </w:t>
      </w:r>
      <w:r w:rsidRPr="00F211E2">
        <w:t>accrued $</w:t>
      </w:r>
      <w:r>
        <w:t>26</w:t>
      </w:r>
      <w:r w:rsidRPr="00F211E2">
        <w:t>,</w:t>
      </w:r>
      <w:r>
        <w:t>275</w:t>
      </w:r>
      <w:r w:rsidRPr="00F211E2">
        <w:t xml:space="preserve"> (202</w:t>
      </w:r>
      <w:r>
        <w:t>3</w:t>
      </w:r>
      <w:r w:rsidRPr="00F211E2">
        <w:t xml:space="preserve"> - $</w:t>
      </w:r>
      <w:r>
        <w:t>52</w:t>
      </w:r>
      <w:r w:rsidRPr="00F211E2">
        <w:t>,</w:t>
      </w:r>
      <w:r>
        <w:t>130</w:t>
      </w:r>
      <w:r w:rsidRPr="00F211E2">
        <w:t>) in fees which are recorded as professional fees to a company controlled by an officer and a former officer of the Company</w:t>
      </w:r>
      <w:r>
        <w:t>.</w:t>
      </w:r>
      <w:r w:rsidRPr="00A26F17">
        <w:t xml:space="preserve"> </w:t>
      </w:r>
    </w:p>
    <w:p w14:paraId="5F141975" w14:textId="77777777" w:rsidR="00F34EFC" w:rsidRPr="00086271" w:rsidRDefault="00F34EFC" w:rsidP="00F34EFC">
      <w:pPr>
        <w:ind w:left="284" w:hanging="425"/>
        <w:jc w:val="both"/>
      </w:pPr>
    </w:p>
    <w:p w14:paraId="212190D2" w14:textId="77777777" w:rsidR="00F34EFC" w:rsidRDefault="00F34EFC" w:rsidP="00F34EFC">
      <w:pPr>
        <w:numPr>
          <w:ilvl w:val="0"/>
          <w:numId w:val="31"/>
        </w:numPr>
        <w:overflowPunct w:val="0"/>
        <w:autoSpaceDE w:val="0"/>
        <w:autoSpaceDN w:val="0"/>
        <w:adjustRightInd w:val="0"/>
        <w:ind w:left="284" w:hanging="284"/>
        <w:jc w:val="both"/>
        <w:textAlignment w:val="baseline"/>
      </w:pPr>
      <w:r w:rsidRPr="00086271">
        <w:t xml:space="preserve">Paid or </w:t>
      </w:r>
      <w:r w:rsidRPr="002C7B69">
        <w:t xml:space="preserve">accrued </w:t>
      </w:r>
      <w:r w:rsidRPr="006511CB">
        <w:t>$</w:t>
      </w:r>
      <w:r>
        <w:t>66</w:t>
      </w:r>
      <w:r w:rsidRPr="006511CB">
        <w:t>,</w:t>
      </w:r>
      <w:r>
        <w:t>071</w:t>
      </w:r>
      <w:r w:rsidRPr="006511CB">
        <w:t xml:space="preserve"> (202</w:t>
      </w:r>
      <w:r>
        <w:t>3</w:t>
      </w:r>
      <w:r w:rsidRPr="006511CB">
        <w:t xml:space="preserve"> - $</w:t>
      </w:r>
      <w:r>
        <w:t>111</w:t>
      </w:r>
      <w:r w:rsidRPr="006511CB">
        <w:t>,</w:t>
      </w:r>
      <w:r>
        <w:t>284</w:t>
      </w:r>
      <w:r w:rsidRPr="006511CB">
        <w:t>) in consulting fees to an officer of the Company of which $</w:t>
      </w:r>
      <w:r>
        <w:t>58</w:t>
      </w:r>
      <w:r w:rsidRPr="006511CB">
        <w:t>,</w:t>
      </w:r>
      <w:r>
        <w:t>617</w:t>
      </w:r>
      <w:r w:rsidRPr="006511CB">
        <w:t xml:space="preserve"> (202</w:t>
      </w:r>
      <w:r>
        <w:t>3</w:t>
      </w:r>
      <w:r w:rsidRPr="006511CB">
        <w:t xml:space="preserve"> - $</w:t>
      </w:r>
      <w:r>
        <w:t>111</w:t>
      </w:r>
      <w:r w:rsidRPr="006511CB">
        <w:t>,</w:t>
      </w:r>
      <w:r>
        <w:t>284</w:t>
      </w:r>
      <w:r w:rsidRPr="006511CB">
        <w:t>) have been capitalized as exploration and evaluation costs and $</w:t>
      </w:r>
      <w:r>
        <w:t>7,454</w:t>
      </w:r>
      <w:r w:rsidRPr="006511CB">
        <w:t xml:space="preserve"> (202</w:t>
      </w:r>
      <w:r>
        <w:t>3</w:t>
      </w:r>
      <w:r w:rsidRPr="006511CB">
        <w:t xml:space="preserve"> - $Nil) have been</w:t>
      </w:r>
      <w:r>
        <w:t xml:space="preserve"> expensed to property investigation costs.</w:t>
      </w:r>
    </w:p>
    <w:p w14:paraId="1FBD90AC" w14:textId="77777777" w:rsidR="00F34EFC" w:rsidRDefault="00F34EFC" w:rsidP="00F34EFC">
      <w:pPr>
        <w:pStyle w:val="ListParagraph"/>
        <w:ind w:left="284"/>
        <w:rPr>
          <w:sz w:val="20"/>
        </w:rPr>
      </w:pPr>
    </w:p>
    <w:p w14:paraId="4663DBCB" w14:textId="77777777" w:rsidR="00F34EFC" w:rsidRPr="00137DC2" w:rsidRDefault="00F34EFC" w:rsidP="00F34EFC">
      <w:pPr>
        <w:jc w:val="both"/>
      </w:pPr>
      <w:r w:rsidRPr="00FB0310">
        <w:rPr>
          <w:bCs/>
        </w:rPr>
        <w:t xml:space="preserve">During the six month period ended February 29, 2024, Company received a loan of $202,330 (US$150,000) (2023 - $Nil) from a director of the Company at an interest rate of 12% per annum. The loan is due on demand within a one-year period. This is in addition to the $265,200 (US$200,000) received from the director during the year ended August 31, 2023. </w:t>
      </w:r>
      <w:r>
        <w:rPr>
          <w:bCs/>
        </w:rPr>
        <w:t xml:space="preserve">During the six month period ended February 29, 2024, </w:t>
      </w:r>
      <w:r w:rsidRPr="00FB0310">
        <w:t>$</w:t>
      </w:r>
      <w:r w:rsidRPr="0082644A">
        <w:t>24</w:t>
      </w:r>
      <w:r w:rsidRPr="00FB0310">
        <w:t>,</w:t>
      </w:r>
      <w:r w:rsidRPr="0082644A">
        <w:t>324</w:t>
      </w:r>
      <w:r w:rsidRPr="00FB0310">
        <w:t xml:space="preserve"> (202</w:t>
      </w:r>
      <w:r w:rsidRPr="0082644A">
        <w:t>3</w:t>
      </w:r>
      <w:r w:rsidRPr="00FB0310">
        <w:t xml:space="preserve"> - $Nil) </w:t>
      </w:r>
      <w:r>
        <w:t xml:space="preserve">in interest </w:t>
      </w:r>
      <w:r w:rsidRPr="00FB0310">
        <w:t xml:space="preserve">has been accrued on </w:t>
      </w:r>
      <w:r>
        <w:t xml:space="preserve">the loans </w:t>
      </w:r>
      <w:r w:rsidRPr="00FB0310">
        <w:t xml:space="preserve">from the director. </w:t>
      </w:r>
      <w:r>
        <w:t xml:space="preserve">As of February 29, 2024, $504,484 (August 31, 2023 - $270,371) is due to the director as </w:t>
      </w:r>
      <w:r w:rsidRPr="00FB0310">
        <w:t>total principal and accrued interest.</w:t>
      </w:r>
      <w:r>
        <w:t xml:space="preserve">   </w:t>
      </w:r>
    </w:p>
    <w:p w14:paraId="7FF3D542" w14:textId="77777777" w:rsidR="00F34EFC" w:rsidRDefault="00F34EFC" w:rsidP="00F34EFC">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lang w:val="en-GB"/>
        </w:rPr>
      </w:pPr>
    </w:p>
    <w:p w14:paraId="48492F00" w14:textId="3FE2C35A" w:rsidR="00F34EFC" w:rsidRDefault="00F34EFC" w:rsidP="00F34EFC">
      <w:pPr>
        <w:pStyle w:val="Header"/>
        <w:tabs>
          <w:tab w:val="clear" w:pos="4320"/>
          <w:tab w:val="clear" w:pos="8640"/>
          <w:tab w:val="left" w:pos="1080"/>
        </w:tabs>
        <w:jc w:val="both"/>
      </w:pPr>
      <w:r w:rsidRPr="00F517DC">
        <w:t xml:space="preserve">Included in due to related parties as of </w:t>
      </w:r>
      <w:r>
        <w:t>February</w:t>
      </w:r>
      <w:r w:rsidRPr="00FA3839">
        <w:t xml:space="preserve"> </w:t>
      </w:r>
      <w:r>
        <w:t>29</w:t>
      </w:r>
      <w:r w:rsidRPr="00FA3839">
        <w:t>, 202</w:t>
      </w:r>
      <w:r>
        <w:t>4</w:t>
      </w:r>
      <w:r w:rsidRPr="00FA3839">
        <w:t xml:space="preserve"> </w:t>
      </w:r>
      <w:r>
        <w:t xml:space="preserve">is </w:t>
      </w:r>
      <w:r w:rsidRPr="00FA3839">
        <w:t>$</w:t>
      </w:r>
      <w:r>
        <w:t>14</w:t>
      </w:r>
      <w:r w:rsidRPr="00EA3915">
        <w:t>,</w:t>
      </w:r>
      <w:r>
        <w:t>623</w:t>
      </w:r>
      <w:r w:rsidRPr="00FA3839">
        <w:t xml:space="preserve"> (</w:t>
      </w:r>
      <w:r>
        <w:t>August 31</w:t>
      </w:r>
      <w:r w:rsidRPr="00F517DC">
        <w:t xml:space="preserve">, </w:t>
      </w:r>
      <w:r w:rsidRPr="00086271">
        <w:t>202</w:t>
      </w:r>
      <w:r>
        <w:t>3</w:t>
      </w:r>
      <w:r w:rsidRPr="00086271">
        <w:t xml:space="preserve"> </w:t>
      </w:r>
      <w:r>
        <w:t xml:space="preserve">- </w:t>
      </w:r>
      <w:r w:rsidRPr="00C73168">
        <w:t>$</w:t>
      </w:r>
      <w:r w:rsidRPr="00083756">
        <w:t>3</w:t>
      </w:r>
      <w:r w:rsidRPr="00C73168">
        <w:t>,</w:t>
      </w:r>
      <w:r w:rsidRPr="00083756">
        <w:t>00</w:t>
      </w:r>
      <w:r w:rsidRPr="00C73168">
        <w:t>0</w:t>
      </w:r>
      <w:r>
        <w:t xml:space="preserve">) </w:t>
      </w:r>
      <w:r w:rsidRPr="00086271">
        <w:t xml:space="preserve">due to </w:t>
      </w:r>
      <w:r w:rsidR="005A7BED">
        <w:t xml:space="preserve">officers and a </w:t>
      </w:r>
      <w:r w:rsidRPr="00086271">
        <w:t>compan</w:t>
      </w:r>
      <w:r>
        <w:t>y</w:t>
      </w:r>
      <w:r w:rsidRPr="00086271">
        <w:t xml:space="preserve"> controlled by </w:t>
      </w:r>
      <w:r>
        <w:t xml:space="preserve">an </w:t>
      </w:r>
      <w:r w:rsidRPr="00086271">
        <w:t>officer</w:t>
      </w:r>
      <w:r>
        <w:t xml:space="preserve"> of the Company</w:t>
      </w:r>
      <w:r w:rsidRPr="00086271">
        <w:t>. The amounts are non-interest bearing and unsecured</w:t>
      </w:r>
      <w:r w:rsidRPr="00E0161D">
        <w:t>.</w:t>
      </w:r>
    </w:p>
    <w:p w14:paraId="01615049" w14:textId="77777777" w:rsidR="003C77EC" w:rsidRDefault="003C77EC" w:rsidP="009621D4">
      <w:pPr>
        <w:pStyle w:val="Default"/>
        <w:rPr>
          <w:rFonts w:ascii="Times New Roman" w:hAnsi="Times New Roman" w:cs="Times New Roman"/>
          <w:b/>
          <w:sz w:val="20"/>
          <w:szCs w:val="20"/>
        </w:rPr>
      </w:pPr>
    </w:p>
    <w:p w14:paraId="0EE74DD9" w14:textId="77777777" w:rsidR="0072078E" w:rsidRPr="00E13949" w:rsidRDefault="0072078E" w:rsidP="009621D4">
      <w:pPr>
        <w:pStyle w:val="Default"/>
        <w:rPr>
          <w:rFonts w:ascii="Times New Roman" w:hAnsi="Times New Roman" w:cs="Times New Roman"/>
          <w:b/>
          <w:sz w:val="20"/>
          <w:szCs w:val="20"/>
        </w:rPr>
      </w:pPr>
      <w:r w:rsidRPr="003A0511">
        <w:rPr>
          <w:rFonts w:ascii="Times New Roman" w:hAnsi="Times New Roman" w:cs="Times New Roman"/>
          <w:b/>
          <w:sz w:val="20"/>
          <w:szCs w:val="20"/>
        </w:rPr>
        <w:t>Key Management Compensation</w:t>
      </w:r>
    </w:p>
    <w:p w14:paraId="5AA227B7" w14:textId="77777777" w:rsidR="0072078E" w:rsidRDefault="0072078E" w:rsidP="0072078E">
      <w:pPr>
        <w:pStyle w:val="Default"/>
        <w:rPr>
          <w:rFonts w:ascii="Times New Roman" w:hAnsi="Times New Roman" w:cs="Times New Roman"/>
          <w:sz w:val="20"/>
          <w:szCs w:val="20"/>
        </w:rPr>
      </w:pPr>
    </w:p>
    <w:p w14:paraId="666CA6A3" w14:textId="38F34802" w:rsidR="00A26CA0" w:rsidRDefault="00A26CA0" w:rsidP="00844E97">
      <w:pPr>
        <w:pStyle w:val="Default"/>
        <w:jc w:val="both"/>
        <w:rPr>
          <w:rFonts w:ascii="Times New Roman" w:hAnsi="Times New Roman" w:cs="Times New Roman"/>
          <w:sz w:val="20"/>
          <w:szCs w:val="20"/>
        </w:rPr>
      </w:pPr>
      <w:r w:rsidRPr="00E13949">
        <w:rPr>
          <w:rFonts w:ascii="Times New Roman" w:hAnsi="Times New Roman" w:cs="Times New Roman"/>
          <w:sz w:val="20"/>
          <w:szCs w:val="20"/>
        </w:rPr>
        <w:t xml:space="preserve">Key management personnel are those </w:t>
      </w:r>
      <w:proofErr w:type="gramStart"/>
      <w:r w:rsidRPr="00E13949">
        <w:rPr>
          <w:rFonts w:ascii="Times New Roman" w:hAnsi="Times New Roman" w:cs="Times New Roman"/>
          <w:sz w:val="20"/>
          <w:szCs w:val="20"/>
        </w:rPr>
        <w:t>persons having</w:t>
      </w:r>
      <w:proofErr w:type="gramEnd"/>
      <w:r w:rsidRPr="00E13949">
        <w:rPr>
          <w:rFonts w:ascii="Times New Roman" w:hAnsi="Times New Roman" w:cs="Times New Roman"/>
          <w:sz w:val="20"/>
          <w:szCs w:val="20"/>
        </w:rPr>
        <w:t xml:space="preserve"> authority and responsibility for planning, </w:t>
      </w:r>
      <w:proofErr w:type="gramStart"/>
      <w:r w:rsidRPr="00E13949">
        <w:rPr>
          <w:rFonts w:ascii="Times New Roman" w:hAnsi="Times New Roman" w:cs="Times New Roman"/>
          <w:sz w:val="20"/>
          <w:szCs w:val="20"/>
        </w:rPr>
        <w:t>directing</w:t>
      </w:r>
      <w:proofErr w:type="gramEnd"/>
      <w:r w:rsidRPr="00E13949">
        <w:rPr>
          <w:rFonts w:ascii="Times New Roman" w:hAnsi="Times New Roman" w:cs="Times New Roman"/>
          <w:sz w:val="20"/>
          <w:szCs w:val="20"/>
        </w:rPr>
        <w:t xml:space="preserve"> and controlling the activities of the Company, directly or indirectly.</w:t>
      </w:r>
      <w:r w:rsidR="00DF283D">
        <w:rPr>
          <w:rFonts w:ascii="Times New Roman" w:hAnsi="Times New Roman" w:cs="Times New Roman"/>
          <w:sz w:val="20"/>
          <w:szCs w:val="20"/>
        </w:rPr>
        <w:t xml:space="preserve"> </w:t>
      </w:r>
      <w:r w:rsidRPr="00E13949">
        <w:rPr>
          <w:rFonts w:ascii="Times New Roman" w:hAnsi="Times New Roman" w:cs="Times New Roman"/>
          <w:sz w:val="20"/>
          <w:szCs w:val="20"/>
        </w:rPr>
        <w:t>Key management personnel include the Company’s executive officers and Board of Director members.</w:t>
      </w:r>
    </w:p>
    <w:p w14:paraId="3E81AE7B" w14:textId="77777777" w:rsidR="00312FBA" w:rsidRDefault="00312FBA" w:rsidP="00844E97">
      <w:pPr>
        <w:pStyle w:val="Default"/>
        <w:jc w:val="both"/>
        <w:rPr>
          <w:rFonts w:ascii="Times New Roman" w:hAnsi="Times New Roman" w:cs="Times New Roman"/>
          <w:sz w:val="20"/>
          <w:szCs w:val="20"/>
        </w:rPr>
      </w:pPr>
    </w:p>
    <w:p w14:paraId="1013A02E" w14:textId="1EE564E3" w:rsidR="00341349" w:rsidRPr="00341349" w:rsidRDefault="00341349" w:rsidP="00341349">
      <w:pPr>
        <w:autoSpaceDE w:val="0"/>
        <w:autoSpaceDN w:val="0"/>
        <w:adjustRightInd w:val="0"/>
        <w:jc w:val="both"/>
        <w:rPr>
          <w:color w:val="000000"/>
          <w:szCs w:val="24"/>
          <w:lang w:val="en-CA"/>
        </w:rPr>
      </w:pPr>
      <w:r w:rsidRPr="00341349">
        <w:rPr>
          <w:color w:val="000000"/>
          <w:szCs w:val="24"/>
          <w:lang w:val="en-CA"/>
        </w:rPr>
        <w:t xml:space="preserve">Other than disclosed above, there was no other compensation paid to key management during the </w:t>
      </w:r>
      <w:r w:rsidR="00F34EFC">
        <w:rPr>
          <w:color w:val="000000"/>
          <w:szCs w:val="24"/>
          <w:lang w:val="en-CA"/>
        </w:rPr>
        <w:t>six</w:t>
      </w:r>
      <w:r w:rsidR="007B58E9">
        <w:rPr>
          <w:color w:val="000000"/>
          <w:szCs w:val="24"/>
          <w:lang w:val="en-CA"/>
        </w:rPr>
        <w:t xml:space="preserve"> month period </w:t>
      </w:r>
      <w:r w:rsidRPr="00341349">
        <w:rPr>
          <w:color w:val="000000"/>
          <w:szCs w:val="24"/>
          <w:lang w:val="en-CA"/>
        </w:rPr>
        <w:t xml:space="preserve">ended </w:t>
      </w:r>
      <w:r w:rsidR="005C598C">
        <w:rPr>
          <w:color w:val="000000"/>
          <w:szCs w:val="24"/>
          <w:lang w:val="en-CA"/>
        </w:rPr>
        <w:t>February</w:t>
      </w:r>
      <w:r w:rsidRPr="00341349">
        <w:rPr>
          <w:color w:val="000000"/>
          <w:szCs w:val="24"/>
          <w:lang w:val="en-CA"/>
        </w:rPr>
        <w:t xml:space="preserve"> </w:t>
      </w:r>
      <w:r w:rsidR="005C598C">
        <w:rPr>
          <w:color w:val="000000"/>
          <w:szCs w:val="24"/>
          <w:lang w:val="en-CA"/>
        </w:rPr>
        <w:t>29</w:t>
      </w:r>
      <w:r w:rsidRPr="00341349">
        <w:rPr>
          <w:color w:val="000000"/>
          <w:szCs w:val="24"/>
          <w:lang w:val="en-CA"/>
        </w:rPr>
        <w:t>, 202</w:t>
      </w:r>
      <w:r w:rsidR="005C598C">
        <w:rPr>
          <w:color w:val="000000"/>
          <w:szCs w:val="24"/>
          <w:lang w:val="en-CA"/>
        </w:rPr>
        <w:t>4</w:t>
      </w:r>
      <w:r w:rsidRPr="00341349">
        <w:rPr>
          <w:color w:val="000000"/>
          <w:szCs w:val="24"/>
          <w:lang w:val="en-CA"/>
        </w:rPr>
        <w:t xml:space="preserve"> and 202</w:t>
      </w:r>
      <w:r w:rsidR="005C598C">
        <w:rPr>
          <w:color w:val="000000"/>
          <w:szCs w:val="24"/>
          <w:lang w:val="en-CA"/>
        </w:rPr>
        <w:t>3</w:t>
      </w:r>
      <w:r w:rsidRPr="00341349">
        <w:rPr>
          <w:color w:val="000000"/>
          <w:szCs w:val="24"/>
          <w:lang w:val="en-CA"/>
        </w:rPr>
        <w:t>.</w:t>
      </w:r>
    </w:p>
    <w:p w14:paraId="693D4B52" w14:textId="77777777" w:rsidR="002D740C" w:rsidRDefault="002D740C">
      <w:pPr>
        <w:jc w:val="both"/>
        <w:rPr>
          <w:b/>
          <w:sz w:val="24"/>
          <w:szCs w:val="24"/>
        </w:rPr>
      </w:pPr>
    </w:p>
    <w:p w14:paraId="1E5194F1" w14:textId="77777777" w:rsidR="00C60517" w:rsidRDefault="00C60517">
      <w:pPr>
        <w:jc w:val="both"/>
        <w:rPr>
          <w:b/>
          <w:sz w:val="24"/>
          <w:szCs w:val="24"/>
        </w:rPr>
      </w:pPr>
    </w:p>
    <w:p w14:paraId="302C5330" w14:textId="77777777" w:rsidR="00C60517" w:rsidRDefault="00C60517">
      <w:pPr>
        <w:jc w:val="both"/>
        <w:rPr>
          <w:b/>
          <w:sz w:val="24"/>
          <w:szCs w:val="24"/>
        </w:rPr>
      </w:pPr>
    </w:p>
    <w:p w14:paraId="6412BF98" w14:textId="77777777" w:rsidR="00C60517" w:rsidRDefault="00C60517">
      <w:pPr>
        <w:jc w:val="both"/>
        <w:rPr>
          <w:b/>
          <w:sz w:val="24"/>
          <w:szCs w:val="24"/>
        </w:rPr>
      </w:pPr>
    </w:p>
    <w:p w14:paraId="23C18BC9" w14:textId="77777777" w:rsidR="00D15068" w:rsidRDefault="00D15068">
      <w:pPr>
        <w:jc w:val="both"/>
        <w:rPr>
          <w:b/>
          <w:sz w:val="24"/>
          <w:szCs w:val="24"/>
        </w:rPr>
      </w:pPr>
    </w:p>
    <w:p w14:paraId="03B6A10D" w14:textId="77777777" w:rsidR="00D15068" w:rsidRDefault="00D15068">
      <w:pPr>
        <w:jc w:val="both"/>
        <w:rPr>
          <w:b/>
          <w:sz w:val="24"/>
          <w:szCs w:val="24"/>
        </w:rPr>
      </w:pPr>
    </w:p>
    <w:p w14:paraId="781E8649" w14:textId="77777777" w:rsidR="00D15068" w:rsidRDefault="00D15068">
      <w:pPr>
        <w:jc w:val="both"/>
        <w:rPr>
          <w:b/>
          <w:sz w:val="24"/>
          <w:szCs w:val="24"/>
        </w:rPr>
      </w:pPr>
    </w:p>
    <w:p w14:paraId="2C2E5EC9" w14:textId="77777777" w:rsidR="00C60517" w:rsidRDefault="00C60517">
      <w:pPr>
        <w:jc w:val="both"/>
        <w:rPr>
          <w:b/>
          <w:sz w:val="24"/>
          <w:szCs w:val="24"/>
        </w:rPr>
      </w:pPr>
    </w:p>
    <w:p w14:paraId="66D261D4" w14:textId="77777777" w:rsidR="00C60517" w:rsidRDefault="00C60517">
      <w:pPr>
        <w:jc w:val="both"/>
        <w:rPr>
          <w:b/>
          <w:sz w:val="24"/>
          <w:szCs w:val="24"/>
        </w:rPr>
      </w:pPr>
    </w:p>
    <w:p w14:paraId="06688950" w14:textId="77777777" w:rsidR="00C60517" w:rsidRDefault="00C60517">
      <w:pPr>
        <w:jc w:val="both"/>
        <w:rPr>
          <w:b/>
          <w:sz w:val="24"/>
          <w:szCs w:val="24"/>
        </w:rPr>
      </w:pPr>
    </w:p>
    <w:p w14:paraId="1D1F23BB" w14:textId="77777777" w:rsidR="00D85237" w:rsidRPr="00E84593" w:rsidRDefault="00D85237">
      <w:pPr>
        <w:jc w:val="both"/>
        <w:rPr>
          <w:b/>
          <w:sz w:val="24"/>
          <w:szCs w:val="24"/>
        </w:rPr>
      </w:pPr>
      <w:r w:rsidRPr="00CF6903">
        <w:rPr>
          <w:b/>
          <w:sz w:val="24"/>
          <w:szCs w:val="24"/>
        </w:rPr>
        <w:lastRenderedPageBreak/>
        <w:t xml:space="preserve">Liquidity </w:t>
      </w:r>
      <w:r w:rsidR="007A5F9F" w:rsidRPr="00CF6903">
        <w:rPr>
          <w:b/>
          <w:sz w:val="24"/>
          <w:szCs w:val="24"/>
        </w:rPr>
        <w:t>and Capital Resources</w:t>
      </w:r>
    </w:p>
    <w:p w14:paraId="4EAA88FC" w14:textId="77777777" w:rsidR="00D85237" w:rsidRPr="00E84593" w:rsidRDefault="00D85237">
      <w:pPr>
        <w:jc w:val="both"/>
      </w:pPr>
    </w:p>
    <w:p w14:paraId="7F561365" w14:textId="3143B1DF" w:rsidR="00615CBB" w:rsidRDefault="00D85237" w:rsidP="00854609">
      <w:pPr>
        <w:jc w:val="both"/>
      </w:pPr>
      <w:r w:rsidRPr="00E84593">
        <w:t xml:space="preserve">The financial statements have been prepared on a going concern basis which assumes that the Company will be able </w:t>
      </w:r>
      <w:r w:rsidR="000B1B99" w:rsidRPr="00E84593">
        <w:t>to realize</w:t>
      </w:r>
      <w:r w:rsidRPr="00E84593">
        <w:t xml:space="preserve"> its assets and discharge its liabilities in the normal course of business for the foreseeable future. The continuing operations of the Company are dependent upon its ability to continue to raise adequate financing and to commence profitable operations in the future.</w:t>
      </w:r>
    </w:p>
    <w:tbl>
      <w:tblPr>
        <w:tblpPr w:leftFromText="180" w:rightFromText="180" w:vertAnchor="text" w:horzAnchor="margin" w:tblpX="-34" w:tblpY="160"/>
        <w:tblW w:w="10207" w:type="dxa"/>
        <w:tblLayout w:type="fixed"/>
        <w:tblLook w:val="0000" w:firstRow="0" w:lastRow="0" w:firstColumn="0" w:lastColumn="0" w:noHBand="0" w:noVBand="0"/>
      </w:tblPr>
      <w:tblGrid>
        <w:gridCol w:w="5529"/>
        <w:gridCol w:w="1525"/>
        <w:gridCol w:w="1593"/>
        <w:gridCol w:w="1560"/>
      </w:tblGrid>
      <w:tr w:rsidR="00615CBB" w:rsidRPr="00E84593" w14:paraId="1ED2332B" w14:textId="77777777" w:rsidTr="0020255B">
        <w:tc>
          <w:tcPr>
            <w:tcW w:w="5529" w:type="dxa"/>
            <w:tcBorders>
              <w:top w:val="double" w:sz="6" w:space="0" w:color="auto"/>
              <w:bottom w:val="single" w:sz="6" w:space="0" w:color="auto"/>
            </w:tcBorders>
          </w:tcPr>
          <w:p w14:paraId="24330074" w14:textId="77777777" w:rsidR="00615CBB" w:rsidRPr="00E84593" w:rsidRDefault="00615CBB" w:rsidP="0020255B">
            <w:pPr>
              <w:jc w:val="both"/>
              <w:rPr>
                <w:lang w:val="en-GB"/>
              </w:rPr>
            </w:pPr>
          </w:p>
        </w:tc>
        <w:tc>
          <w:tcPr>
            <w:tcW w:w="1525" w:type="dxa"/>
            <w:tcBorders>
              <w:top w:val="double" w:sz="6" w:space="0" w:color="auto"/>
              <w:bottom w:val="single" w:sz="6" w:space="0" w:color="auto"/>
            </w:tcBorders>
          </w:tcPr>
          <w:p w14:paraId="53A5383B" w14:textId="77777777" w:rsidR="00615CBB" w:rsidRPr="00E84593" w:rsidRDefault="00615CBB" w:rsidP="0020255B">
            <w:pPr>
              <w:tabs>
                <w:tab w:val="left" w:pos="1242"/>
              </w:tabs>
              <w:jc w:val="right"/>
              <w:rPr>
                <w:lang w:val="en-GB"/>
              </w:rPr>
            </w:pPr>
          </w:p>
        </w:tc>
        <w:tc>
          <w:tcPr>
            <w:tcW w:w="1593" w:type="dxa"/>
            <w:tcBorders>
              <w:top w:val="double" w:sz="6" w:space="0" w:color="auto"/>
              <w:bottom w:val="single" w:sz="6" w:space="0" w:color="auto"/>
            </w:tcBorders>
          </w:tcPr>
          <w:p w14:paraId="176519B2" w14:textId="2021A3BC" w:rsidR="0008591A" w:rsidRPr="008A32BC" w:rsidRDefault="005C598C" w:rsidP="0020255B">
            <w:pPr>
              <w:ind w:right="33"/>
              <w:jc w:val="right"/>
              <w:rPr>
                <w:lang w:val="en-GB"/>
              </w:rPr>
            </w:pPr>
            <w:r>
              <w:rPr>
                <w:lang w:val="en-GB"/>
              </w:rPr>
              <w:t>February</w:t>
            </w:r>
            <w:r w:rsidR="00341349" w:rsidRPr="008A32BC">
              <w:rPr>
                <w:lang w:val="en-GB"/>
              </w:rPr>
              <w:t xml:space="preserve"> </w:t>
            </w:r>
            <w:r>
              <w:rPr>
                <w:lang w:val="en-GB"/>
              </w:rPr>
              <w:t>29</w:t>
            </w:r>
            <w:r w:rsidR="00742FA9" w:rsidRPr="008A32BC">
              <w:rPr>
                <w:lang w:val="en-GB"/>
              </w:rPr>
              <w:t>,</w:t>
            </w:r>
          </w:p>
          <w:p w14:paraId="046B2453" w14:textId="36C39CC4" w:rsidR="00615CBB" w:rsidRPr="008A32BC" w:rsidRDefault="00742FA9" w:rsidP="0020255B">
            <w:pPr>
              <w:ind w:right="33"/>
              <w:jc w:val="right"/>
              <w:rPr>
                <w:lang w:val="en-GB"/>
              </w:rPr>
            </w:pPr>
            <w:r w:rsidRPr="008A32BC">
              <w:rPr>
                <w:lang w:val="en-GB"/>
              </w:rPr>
              <w:t xml:space="preserve"> </w:t>
            </w:r>
            <w:r w:rsidR="00615CBB" w:rsidRPr="008A32BC">
              <w:rPr>
                <w:lang w:val="en-GB"/>
              </w:rPr>
              <w:t>20</w:t>
            </w:r>
            <w:r w:rsidR="00A26CA0" w:rsidRPr="008A32BC">
              <w:rPr>
                <w:lang w:val="en-GB"/>
              </w:rPr>
              <w:t>2</w:t>
            </w:r>
            <w:r w:rsidR="005C598C">
              <w:rPr>
                <w:lang w:val="en-GB"/>
              </w:rPr>
              <w:t>4</w:t>
            </w:r>
          </w:p>
        </w:tc>
        <w:tc>
          <w:tcPr>
            <w:tcW w:w="1560" w:type="dxa"/>
            <w:tcBorders>
              <w:top w:val="double" w:sz="6" w:space="0" w:color="auto"/>
              <w:bottom w:val="single" w:sz="6" w:space="0" w:color="auto"/>
            </w:tcBorders>
          </w:tcPr>
          <w:p w14:paraId="1D5D456B" w14:textId="77777777" w:rsidR="00615CBB" w:rsidRPr="00A06325" w:rsidRDefault="006C7340" w:rsidP="0020255B">
            <w:pPr>
              <w:tabs>
                <w:tab w:val="left" w:pos="1346"/>
              </w:tabs>
              <w:jc w:val="right"/>
              <w:rPr>
                <w:lang w:val="en-GB"/>
              </w:rPr>
            </w:pPr>
            <w:r w:rsidRPr="00A06325">
              <w:rPr>
                <w:lang w:val="en-GB"/>
              </w:rPr>
              <w:t>August</w:t>
            </w:r>
            <w:r w:rsidR="00615CBB" w:rsidRPr="00A06325">
              <w:rPr>
                <w:lang w:val="en-GB"/>
              </w:rPr>
              <w:t xml:space="preserve"> </w:t>
            </w:r>
            <w:r w:rsidRPr="00A06325">
              <w:rPr>
                <w:lang w:val="en-GB"/>
              </w:rPr>
              <w:t>31</w:t>
            </w:r>
            <w:r w:rsidR="00615CBB" w:rsidRPr="00A06325">
              <w:rPr>
                <w:lang w:val="en-GB"/>
              </w:rPr>
              <w:t>,</w:t>
            </w:r>
          </w:p>
          <w:p w14:paraId="1E3CD55E" w14:textId="7AAF3643" w:rsidR="00615CBB" w:rsidRPr="00A06325" w:rsidRDefault="00615CBB" w:rsidP="0020255B">
            <w:pPr>
              <w:tabs>
                <w:tab w:val="left" w:pos="1346"/>
              </w:tabs>
              <w:jc w:val="right"/>
              <w:rPr>
                <w:lang w:val="en-GB"/>
              </w:rPr>
            </w:pPr>
            <w:r w:rsidRPr="00A06325">
              <w:rPr>
                <w:lang w:val="en-GB"/>
              </w:rPr>
              <w:t>20</w:t>
            </w:r>
            <w:r w:rsidR="0042653A">
              <w:rPr>
                <w:lang w:val="en-GB"/>
              </w:rPr>
              <w:t>2</w:t>
            </w:r>
            <w:r w:rsidR="000F53EF">
              <w:rPr>
                <w:lang w:val="en-GB"/>
              </w:rPr>
              <w:t>3</w:t>
            </w:r>
          </w:p>
        </w:tc>
      </w:tr>
      <w:tr w:rsidR="00615CBB" w:rsidRPr="00E84593" w14:paraId="153C82AE" w14:textId="77777777" w:rsidTr="0020255B">
        <w:tc>
          <w:tcPr>
            <w:tcW w:w="5529" w:type="dxa"/>
            <w:tcBorders>
              <w:top w:val="single" w:sz="6" w:space="0" w:color="auto"/>
            </w:tcBorders>
          </w:tcPr>
          <w:p w14:paraId="0101BF0F" w14:textId="77777777" w:rsidR="00615CBB" w:rsidRPr="00E84593" w:rsidRDefault="00615CBB" w:rsidP="0020255B">
            <w:pPr>
              <w:tabs>
                <w:tab w:val="left" w:pos="252"/>
                <w:tab w:val="left" w:pos="522"/>
              </w:tabs>
              <w:jc w:val="both"/>
              <w:rPr>
                <w:lang w:val="en-GB"/>
              </w:rPr>
            </w:pPr>
          </w:p>
        </w:tc>
        <w:tc>
          <w:tcPr>
            <w:tcW w:w="1525" w:type="dxa"/>
            <w:tcBorders>
              <w:top w:val="single" w:sz="6" w:space="0" w:color="auto"/>
            </w:tcBorders>
          </w:tcPr>
          <w:p w14:paraId="3B0B4C09" w14:textId="77777777" w:rsidR="00615CBB" w:rsidRPr="00E84593" w:rsidRDefault="00615CBB" w:rsidP="0020255B">
            <w:pPr>
              <w:tabs>
                <w:tab w:val="left" w:pos="0"/>
                <w:tab w:val="decimal" w:pos="1062"/>
              </w:tabs>
              <w:jc w:val="both"/>
              <w:rPr>
                <w:lang w:val="en-GB"/>
              </w:rPr>
            </w:pPr>
          </w:p>
        </w:tc>
        <w:tc>
          <w:tcPr>
            <w:tcW w:w="1593" w:type="dxa"/>
            <w:tcBorders>
              <w:top w:val="single" w:sz="6" w:space="0" w:color="auto"/>
            </w:tcBorders>
          </w:tcPr>
          <w:p w14:paraId="3B70C7D8" w14:textId="77777777" w:rsidR="00615CBB" w:rsidRPr="008A32BC" w:rsidRDefault="00615CBB" w:rsidP="0020255B">
            <w:pPr>
              <w:tabs>
                <w:tab w:val="left" w:pos="0"/>
                <w:tab w:val="decimal" w:pos="1062"/>
              </w:tabs>
              <w:ind w:right="33"/>
              <w:jc w:val="center"/>
              <w:rPr>
                <w:lang w:val="en-GB"/>
              </w:rPr>
            </w:pPr>
          </w:p>
        </w:tc>
        <w:tc>
          <w:tcPr>
            <w:tcW w:w="1560" w:type="dxa"/>
            <w:tcBorders>
              <w:top w:val="single" w:sz="6" w:space="0" w:color="auto"/>
            </w:tcBorders>
          </w:tcPr>
          <w:p w14:paraId="70AF6EDA" w14:textId="77777777" w:rsidR="00615CBB" w:rsidRPr="00A06325" w:rsidRDefault="00615CBB" w:rsidP="0020255B">
            <w:pPr>
              <w:tabs>
                <w:tab w:val="left" w:pos="0"/>
                <w:tab w:val="decimal" w:pos="1062"/>
                <w:tab w:val="left" w:pos="1346"/>
              </w:tabs>
              <w:jc w:val="both"/>
              <w:rPr>
                <w:lang w:val="en-GB"/>
              </w:rPr>
            </w:pPr>
          </w:p>
        </w:tc>
      </w:tr>
      <w:tr w:rsidR="000F53EF" w:rsidRPr="00E84593" w14:paraId="3931F82A" w14:textId="77777777" w:rsidTr="0020255B">
        <w:tc>
          <w:tcPr>
            <w:tcW w:w="5529" w:type="dxa"/>
          </w:tcPr>
          <w:p w14:paraId="4D6E0CD3" w14:textId="213DB223" w:rsidR="000F53EF" w:rsidRPr="00E84593" w:rsidRDefault="000F53EF" w:rsidP="000F53EF">
            <w:pPr>
              <w:tabs>
                <w:tab w:val="left" w:pos="252"/>
                <w:tab w:val="left" w:pos="522"/>
              </w:tabs>
              <w:jc w:val="both"/>
              <w:rPr>
                <w:lang w:val="en-GB"/>
              </w:rPr>
            </w:pPr>
            <w:r w:rsidRPr="00E84593">
              <w:rPr>
                <w:lang w:val="en-GB"/>
              </w:rPr>
              <w:t>Working capital</w:t>
            </w:r>
            <w:r>
              <w:rPr>
                <w:lang w:val="en-GB"/>
              </w:rPr>
              <w:t xml:space="preserve"> deficiency</w:t>
            </w:r>
            <w:r w:rsidRPr="00E84593">
              <w:rPr>
                <w:lang w:val="en-GB"/>
              </w:rPr>
              <w:t xml:space="preserve">  </w:t>
            </w:r>
          </w:p>
        </w:tc>
        <w:tc>
          <w:tcPr>
            <w:tcW w:w="1525" w:type="dxa"/>
          </w:tcPr>
          <w:p w14:paraId="11EEDCA9" w14:textId="77777777" w:rsidR="000F53EF" w:rsidRPr="00F261E0" w:rsidRDefault="000F53EF" w:rsidP="000F53EF">
            <w:pPr>
              <w:tabs>
                <w:tab w:val="left" w:pos="0"/>
                <w:tab w:val="decimal" w:pos="1314"/>
              </w:tabs>
              <w:ind w:right="-162"/>
              <w:jc w:val="both"/>
              <w:rPr>
                <w:lang w:val="en-GB"/>
              </w:rPr>
            </w:pPr>
          </w:p>
        </w:tc>
        <w:tc>
          <w:tcPr>
            <w:tcW w:w="1593" w:type="dxa"/>
          </w:tcPr>
          <w:p w14:paraId="1394095A" w14:textId="1AE2C895" w:rsidR="000F53EF" w:rsidRPr="008A32BC" w:rsidRDefault="000F53EF" w:rsidP="000F53EF">
            <w:pPr>
              <w:tabs>
                <w:tab w:val="left" w:pos="0"/>
                <w:tab w:val="decimal" w:pos="1314"/>
              </w:tabs>
              <w:ind w:right="33"/>
              <w:jc w:val="both"/>
              <w:rPr>
                <w:lang w:val="en-GB"/>
              </w:rPr>
            </w:pPr>
            <w:r w:rsidRPr="008A32BC">
              <w:rPr>
                <w:lang w:val="en-GB"/>
              </w:rPr>
              <w:t>$</w:t>
            </w:r>
            <w:r w:rsidRPr="008A32BC">
              <w:rPr>
                <w:lang w:val="en-GB"/>
              </w:rPr>
              <w:tab/>
              <w:t>(</w:t>
            </w:r>
            <w:r w:rsidR="005C598C">
              <w:rPr>
                <w:lang w:val="en-GB"/>
              </w:rPr>
              <w:t>469</w:t>
            </w:r>
            <w:r w:rsidRPr="008A32BC">
              <w:rPr>
                <w:lang w:val="en-GB"/>
              </w:rPr>
              <w:t>,</w:t>
            </w:r>
            <w:r w:rsidR="005C598C">
              <w:rPr>
                <w:lang w:val="en-GB"/>
              </w:rPr>
              <w:t>940</w:t>
            </w:r>
            <w:r w:rsidRPr="008A32BC">
              <w:rPr>
                <w:lang w:val="en-GB"/>
              </w:rPr>
              <w:t>)</w:t>
            </w:r>
          </w:p>
        </w:tc>
        <w:tc>
          <w:tcPr>
            <w:tcW w:w="1560" w:type="dxa"/>
          </w:tcPr>
          <w:p w14:paraId="31377FE3" w14:textId="3AE3E99E" w:rsidR="000F53EF" w:rsidRPr="00BF790B" w:rsidRDefault="000F53EF" w:rsidP="000F53EF">
            <w:pPr>
              <w:tabs>
                <w:tab w:val="left" w:pos="0"/>
                <w:tab w:val="decimal" w:pos="1314"/>
                <w:tab w:val="left" w:pos="1346"/>
              </w:tabs>
              <w:ind w:right="-162"/>
              <w:jc w:val="both"/>
              <w:rPr>
                <w:lang w:val="en-GB"/>
              </w:rPr>
            </w:pPr>
            <w:r w:rsidRPr="00A6504E">
              <w:rPr>
                <w:lang w:val="en-GB"/>
              </w:rPr>
              <w:t>$</w:t>
            </w:r>
            <w:r w:rsidRPr="00A6504E">
              <w:rPr>
                <w:lang w:val="en-GB"/>
              </w:rPr>
              <w:tab/>
              <w:t>(</w:t>
            </w:r>
            <w:r>
              <w:rPr>
                <w:lang w:val="en-GB"/>
              </w:rPr>
              <w:t>62</w:t>
            </w:r>
            <w:r w:rsidRPr="00A6504E">
              <w:rPr>
                <w:lang w:val="en-GB"/>
              </w:rPr>
              <w:t>,</w:t>
            </w:r>
            <w:r>
              <w:rPr>
                <w:lang w:val="en-GB"/>
              </w:rPr>
              <w:t>417</w:t>
            </w:r>
            <w:r w:rsidRPr="00A6504E">
              <w:rPr>
                <w:lang w:val="en-GB"/>
              </w:rPr>
              <w:t>)</w:t>
            </w:r>
          </w:p>
        </w:tc>
      </w:tr>
      <w:tr w:rsidR="000F53EF" w:rsidRPr="00A06325" w14:paraId="39E48FA1" w14:textId="77777777" w:rsidTr="0020255B">
        <w:tc>
          <w:tcPr>
            <w:tcW w:w="5529" w:type="dxa"/>
            <w:tcBorders>
              <w:bottom w:val="double" w:sz="4" w:space="0" w:color="auto"/>
            </w:tcBorders>
          </w:tcPr>
          <w:p w14:paraId="4D0A2EC9" w14:textId="77777777" w:rsidR="000F53EF" w:rsidRPr="00A06325" w:rsidRDefault="000F53EF" w:rsidP="000F53EF">
            <w:pPr>
              <w:tabs>
                <w:tab w:val="left" w:pos="252"/>
                <w:tab w:val="left" w:pos="522"/>
              </w:tabs>
              <w:jc w:val="both"/>
              <w:rPr>
                <w:lang w:val="en-GB"/>
              </w:rPr>
            </w:pPr>
            <w:r w:rsidRPr="00A06325">
              <w:rPr>
                <w:lang w:val="en-GB"/>
              </w:rPr>
              <w:t>Deficit</w:t>
            </w:r>
          </w:p>
        </w:tc>
        <w:tc>
          <w:tcPr>
            <w:tcW w:w="1525" w:type="dxa"/>
            <w:tcBorders>
              <w:bottom w:val="double" w:sz="4" w:space="0" w:color="auto"/>
            </w:tcBorders>
          </w:tcPr>
          <w:p w14:paraId="1AB1B275" w14:textId="77777777" w:rsidR="000F53EF" w:rsidRPr="00F261E0" w:rsidRDefault="000F53EF" w:rsidP="000F53EF">
            <w:pPr>
              <w:tabs>
                <w:tab w:val="left" w:pos="0"/>
                <w:tab w:val="decimal" w:pos="1314"/>
              </w:tabs>
              <w:ind w:right="-162"/>
              <w:jc w:val="both"/>
              <w:rPr>
                <w:lang w:val="en-GB"/>
              </w:rPr>
            </w:pPr>
          </w:p>
        </w:tc>
        <w:tc>
          <w:tcPr>
            <w:tcW w:w="1593" w:type="dxa"/>
            <w:tcBorders>
              <w:bottom w:val="double" w:sz="4" w:space="0" w:color="auto"/>
            </w:tcBorders>
          </w:tcPr>
          <w:p w14:paraId="2E17F963" w14:textId="28CF6097" w:rsidR="000F53EF" w:rsidRPr="008A32BC" w:rsidRDefault="000F53EF" w:rsidP="000F53EF">
            <w:pPr>
              <w:tabs>
                <w:tab w:val="left" w:pos="0"/>
                <w:tab w:val="decimal" w:pos="1314"/>
              </w:tabs>
              <w:ind w:right="33"/>
              <w:jc w:val="both"/>
              <w:rPr>
                <w:lang w:val="en-GB"/>
              </w:rPr>
            </w:pPr>
            <w:r w:rsidRPr="008A32BC">
              <w:rPr>
                <w:lang w:val="en-GB"/>
              </w:rPr>
              <w:tab/>
              <w:t>(24,</w:t>
            </w:r>
            <w:r w:rsidR="005C598C">
              <w:rPr>
                <w:lang w:val="en-GB"/>
              </w:rPr>
              <w:t>582</w:t>
            </w:r>
            <w:r w:rsidRPr="008A32BC">
              <w:rPr>
                <w:lang w:val="en-GB"/>
              </w:rPr>
              <w:t>,</w:t>
            </w:r>
            <w:r w:rsidR="005C598C">
              <w:rPr>
                <w:lang w:val="en-GB"/>
              </w:rPr>
              <w:t>625</w:t>
            </w:r>
            <w:r w:rsidRPr="008A32BC">
              <w:rPr>
                <w:lang w:val="en-GB"/>
              </w:rPr>
              <w:t>)</w:t>
            </w:r>
          </w:p>
        </w:tc>
        <w:tc>
          <w:tcPr>
            <w:tcW w:w="1560" w:type="dxa"/>
            <w:tcBorders>
              <w:bottom w:val="double" w:sz="4" w:space="0" w:color="auto"/>
            </w:tcBorders>
          </w:tcPr>
          <w:p w14:paraId="68C71E5C" w14:textId="3AA98E57" w:rsidR="000F53EF" w:rsidRPr="00A06325" w:rsidRDefault="000F53EF" w:rsidP="000F53EF">
            <w:pPr>
              <w:tabs>
                <w:tab w:val="left" w:pos="0"/>
                <w:tab w:val="decimal" w:pos="1314"/>
                <w:tab w:val="left" w:pos="1346"/>
              </w:tabs>
              <w:ind w:right="-162"/>
              <w:jc w:val="both"/>
              <w:rPr>
                <w:lang w:val="en-GB"/>
              </w:rPr>
            </w:pPr>
            <w:r w:rsidRPr="00A6504E">
              <w:rPr>
                <w:lang w:val="en-GB"/>
              </w:rPr>
              <w:tab/>
              <w:t>(24,247,229)</w:t>
            </w:r>
          </w:p>
        </w:tc>
      </w:tr>
    </w:tbl>
    <w:p w14:paraId="3A04AFD7" w14:textId="77777777" w:rsidR="008A32BC" w:rsidRDefault="008A32BC">
      <w:pPr>
        <w:pStyle w:val="BodyText3"/>
        <w:tabs>
          <w:tab w:val="clear" w:pos="0"/>
          <w:tab w:val="clear" w:pos="990"/>
          <w:tab w:val="clear" w:pos="1260"/>
        </w:tabs>
        <w:autoSpaceDE/>
        <w:autoSpaceDN/>
        <w:adjustRightInd/>
      </w:pPr>
    </w:p>
    <w:p w14:paraId="58F8F22F" w14:textId="1EE2FEEC" w:rsidR="00431CC0" w:rsidRPr="00341349" w:rsidRDefault="00E02735">
      <w:pPr>
        <w:pStyle w:val="BodyText3"/>
        <w:tabs>
          <w:tab w:val="clear" w:pos="0"/>
          <w:tab w:val="clear" w:pos="990"/>
          <w:tab w:val="clear" w:pos="1260"/>
        </w:tabs>
        <w:autoSpaceDE/>
        <w:autoSpaceDN/>
        <w:adjustRightInd/>
        <w:rPr>
          <w:highlight w:val="yellow"/>
        </w:rPr>
      </w:pPr>
      <w:r w:rsidRPr="00BB6133">
        <w:t xml:space="preserve">Net cash </w:t>
      </w:r>
      <w:r w:rsidR="008A32BC">
        <w:t xml:space="preserve">provided by (used in) </w:t>
      </w:r>
      <w:r w:rsidRPr="00BB6133">
        <w:t xml:space="preserve">operating activities for </w:t>
      </w:r>
      <w:r w:rsidR="009220CE" w:rsidRPr="00BB6133">
        <w:t>the</w:t>
      </w:r>
      <w:r w:rsidRPr="00BB6133">
        <w:t xml:space="preserve"> </w:t>
      </w:r>
      <w:r w:rsidR="0036145A" w:rsidRPr="00BB6133">
        <w:t>period</w:t>
      </w:r>
      <w:r w:rsidR="00370F1E" w:rsidRPr="00BB6133">
        <w:t xml:space="preserve"> was </w:t>
      </w:r>
      <w:r w:rsidRPr="00BB6133">
        <w:t>$</w:t>
      </w:r>
      <w:r w:rsidR="005C598C">
        <w:t>122,059</w:t>
      </w:r>
      <w:r w:rsidR="005476E3" w:rsidRPr="00C8220E">
        <w:t xml:space="preserve"> </w:t>
      </w:r>
      <w:r w:rsidR="00D977BD" w:rsidRPr="00C8220E">
        <w:t>(20</w:t>
      </w:r>
      <w:r w:rsidR="00EE0D05" w:rsidRPr="00C8220E">
        <w:t>2</w:t>
      </w:r>
      <w:r w:rsidR="005C598C">
        <w:t>3</w:t>
      </w:r>
      <w:r w:rsidR="000A2453" w:rsidRPr="00C8220E">
        <w:t xml:space="preserve"> </w:t>
      </w:r>
      <w:r w:rsidR="008A32BC">
        <w:t>–</w:t>
      </w:r>
      <w:r w:rsidR="0015602C" w:rsidRPr="00C8220E">
        <w:t xml:space="preserve"> </w:t>
      </w:r>
      <w:r w:rsidR="008A32BC">
        <w:t>($</w:t>
      </w:r>
      <w:r w:rsidR="005C598C">
        <w:t>394</w:t>
      </w:r>
      <w:r w:rsidR="0036145A" w:rsidRPr="00C8220E">
        <w:t>,</w:t>
      </w:r>
      <w:r w:rsidR="005C598C">
        <w:t>119</w:t>
      </w:r>
      <w:r w:rsidR="008A32BC">
        <w:t>)</w:t>
      </w:r>
      <w:r w:rsidR="00043D29" w:rsidRPr="00C8220E">
        <w:t>)</w:t>
      </w:r>
      <w:r w:rsidRPr="00C8220E">
        <w:t xml:space="preserve">. </w:t>
      </w:r>
      <w:r w:rsidR="006C7A67" w:rsidRPr="00C8220E">
        <w:t>Th</w:t>
      </w:r>
      <w:r w:rsidR="009220CE" w:rsidRPr="00C8220E">
        <w:t>is</w:t>
      </w:r>
      <w:r w:rsidR="006C7A67" w:rsidRPr="00C8220E">
        <w:t xml:space="preserve"> amount c</w:t>
      </w:r>
      <w:r w:rsidR="00D85237" w:rsidRPr="00C8220E">
        <w:t>onsist</w:t>
      </w:r>
      <w:r w:rsidR="009220CE" w:rsidRPr="00C8220E">
        <w:t>s</w:t>
      </w:r>
      <w:r w:rsidR="00D85237" w:rsidRPr="00C8220E">
        <w:t xml:space="preserve"> of </w:t>
      </w:r>
      <w:r w:rsidR="009220CE" w:rsidRPr="00C8220E">
        <w:t>a</w:t>
      </w:r>
      <w:r w:rsidR="00D85237" w:rsidRPr="00C8220E">
        <w:t xml:space="preserve"> </w:t>
      </w:r>
      <w:r w:rsidR="00EA37F0" w:rsidRPr="00C8220E">
        <w:t xml:space="preserve">net </w:t>
      </w:r>
      <w:r w:rsidR="00D85237" w:rsidRPr="00C8220E">
        <w:t xml:space="preserve">operating loss </w:t>
      </w:r>
      <w:r w:rsidR="009220CE" w:rsidRPr="00C8220E">
        <w:t>of $</w:t>
      </w:r>
      <w:r w:rsidR="000E13C9">
        <w:t>335</w:t>
      </w:r>
      <w:r w:rsidR="00780EC5" w:rsidRPr="00C8220E">
        <w:t>,</w:t>
      </w:r>
      <w:r w:rsidR="000E13C9">
        <w:t>396</w:t>
      </w:r>
      <w:r w:rsidR="00A06325" w:rsidRPr="00C8220E">
        <w:t xml:space="preserve"> </w:t>
      </w:r>
      <w:r w:rsidR="00994FE1" w:rsidRPr="00C8220E">
        <w:t>(20</w:t>
      </w:r>
      <w:r w:rsidR="00EE0D05" w:rsidRPr="00C8220E">
        <w:t>2</w:t>
      </w:r>
      <w:r w:rsidR="000E13C9">
        <w:t>3</w:t>
      </w:r>
      <w:r w:rsidR="00994FE1" w:rsidRPr="00C8220E">
        <w:t xml:space="preserve"> - $</w:t>
      </w:r>
      <w:r w:rsidR="000E13C9">
        <w:t>369</w:t>
      </w:r>
      <w:r w:rsidR="00BB6133" w:rsidRPr="00C8220E">
        <w:t>,</w:t>
      </w:r>
      <w:r w:rsidR="000E13C9">
        <w:t>131</w:t>
      </w:r>
      <w:r w:rsidR="00994FE1" w:rsidRPr="00C8220E">
        <w:t>)</w:t>
      </w:r>
      <w:r w:rsidR="00D40BF1" w:rsidRPr="00C8220E">
        <w:t xml:space="preserve"> and </w:t>
      </w:r>
      <w:r w:rsidR="007629E4" w:rsidRPr="00C8220E">
        <w:t xml:space="preserve">items not affecting cash </w:t>
      </w:r>
      <w:r w:rsidR="00B01162" w:rsidRPr="00C8220E">
        <w:t>of</w:t>
      </w:r>
      <w:r w:rsidR="00430567" w:rsidRPr="00C8220E">
        <w:t>:</w:t>
      </w:r>
      <w:r w:rsidR="00B01162" w:rsidRPr="00C8220E">
        <w:t xml:space="preserve"> </w:t>
      </w:r>
      <w:r w:rsidR="005E73DE" w:rsidRPr="00C8220E">
        <w:t>foreign exchange o</w:t>
      </w:r>
      <w:r w:rsidR="0034113F" w:rsidRPr="00C8220E">
        <w:t xml:space="preserve">f </w:t>
      </w:r>
      <w:r w:rsidR="00B01162" w:rsidRPr="00C8220E">
        <w:t>$</w:t>
      </w:r>
      <w:r w:rsidR="00C60517">
        <w:t>328</w:t>
      </w:r>
      <w:r w:rsidR="00780EC5" w:rsidRPr="00C8220E">
        <w:t xml:space="preserve"> </w:t>
      </w:r>
      <w:r w:rsidR="00994FE1" w:rsidRPr="00C8220E">
        <w:t>(20</w:t>
      </w:r>
      <w:r w:rsidR="00EE0D05" w:rsidRPr="00C8220E">
        <w:t>2</w:t>
      </w:r>
      <w:r w:rsidR="00C60517">
        <w:t>3</w:t>
      </w:r>
      <w:r w:rsidR="00994FE1" w:rsidRPr="00C8220E">
        <w:t xml:space="preserve"> </w:t>
      </w:r>
      <w:r w:rsidR="0036145A" w:rsidRPr="00C8220E">
        <w:t>-</w:t>
      </w:r>
      <w:r w:rsidR="0034113F" w:rsidRPr="00C8220E">
        <w:t xml:space="preserve"> </w:t>
      </w:r>
      <w:r w:rsidR="00994FE1" w:rsidRPr="00C8220E">
        <w:t>$</w:t>
      </w:r>
      <w:r w:rsidR="00C60517">
        <w:t>14</w:t>
      </w:r>
      <w:r w:rsidR="005A5C59" w:rsidRPr="00C8220E">
        <w:t>,</w:t>
      </w:r>
      <w:r w:rsidR="00C60517">
        <w:t>728</w:t>
      </w:r>
      <w:r w:rsidR="0036145A" w:rsidRPr="00C8220E">
        <w:t>)</w:t>
      </w:r>
      <w:r w:rsidR="0006616E">
        <w:t xml:space="preserve"> on reclamation bonds</w:t>
      </w:r>
      <w:r w:rsidR="00780EC5" w:rsidRPr="00C8220E">
        <w:t xml:space="preserve">, </w:t>
      </w:r>
      <w:r w:rsidR="0006616E">
        <w:t>foreign exchange of $</w:t>
      </w:r>
      <w:r w:rsidR="00C60517">
        <w:t>7</w:t>
      </w:r>
      <w:r w:rsidR="0006616E">
        <w:t>,</w:t>
      </w:r>
      <w:r w:rsidR="00C60517">
        <w:t>459</w:t>
      </w:r>
      <w:r w:rsidR="0006616E">
        <w:t xml:space="preserve"> (202</w:t>
      </w:r>
      <w:r w:rsidR="00C60517">
        <w:t>3</w:t>
      </w:r>
      <w:r w:rsidR="0006616E">
        <w:t xml:space="preserve"> - $Nil) on loans payable, </w:t>
      </w:r>
      <w:r w:rsidR="00780EC5" w:rsidRPr="00C8220E">
        <w:t>$</w:t>
      </w:r>
      <w:r w:rsidR="0006616E">
        <w:t>246</w:t>
      </w:r>
      <w:r w:rsidR="0036145A" w:rsidRPr="00C8220E">
        <w:t xml:space="preserve"> </w:t>
      </w:r>
      <w:r w:rsidR="007B168C" w:rsidRPr="00C8220E">
        <w:t>(20</w:t>
      </w:r>
      <w:r w:rsidR="00EE0D05" w:rsidRPr="00C8220E">
        <w:t>2</w:t>
      </w:r>
      <w:r w:rsidR="00C60517">
        <w:t>3</w:t>
      </w:r>
      <w:r w:rsidR="007B168C" w:rsidRPr="00C8220E">
        <w:t xml:space="preserve"> - $</w:t>
      </w:r>
      <w:r w:rsidR="00C60517">
        <w:t>54</w:t>
      </w:r>
      <w:r w:rsidR="00910060" w:rsidRPr="00C8220E">
        <w:t>,</w:t>
      </w:r>
      <w:r w:rsidR="00C60517">
        <w:t>528</w:t>
      </w:r>
      <w:r w:rsidR="007B168C" w:rsidRPr="00C8220E">
        <w:t xml:space="preserve">) </w:t>
      </w:r>
      <w:r w:rsidR="00DB0D8B" w:rsidRPr="00C8220E">
        <w:t xml:space="preserve">in </w:t>
      </w:r>
      <w:r w:rsidR="00E84593" w:rsidRPr="00C8220E">
        <w:t>share-based compensation</w:t>
      </w:r>
      <w:r w:rsidR="0006616E">
        <w:t xml:space="preserve"> and </w:t>
      </w:r>
      <w:r w:rsidR="005A5C59" w:rsidRPr="00C8220E">
        <w:t>loan interest of $</w:t>
      </w:r>
      <w:r w:rsidR="00C60517">
        <w:t>24</w:t>
      </w:r>
      <w:r w:rsidR="005A5C59" w:rsidRPr="00C8220E">
        <w:t>,</w:t>
      </w:r>
      <w:r w:rsidR="00C60517">
        <w:t>324</w:t>
      </w:r>
      <w:r w:rsidR="005A5C59" w:rsidRPr="00C8220E">
        <w:t xml:space="preserve"> (202</w:t>
      </w:r>
      <w:r w:rsidR="00C60517">
        <w:t>3</w:t>
      </w:r>
      <w:r w:rsidR="005A5C59" w:rsidRPr="00C8220E">
        <w:t xml:space="preserve"> - $Nil</w:t>
      </w:r>
      <w:r w:rsidR="0006616E">
        <w:t>)</w:t>
      </w:r>
      <w:r w:rsidR="00C8220E" w:rsidRPr="00C8220E">
        <w:t>.</w:t>
      </w:r>
      <w:r w:rsidR="00390107" w:rsidRPr="00C8220E">
        <w:t xml:space="preserve"> </w:t>
      </w:r>
      <w:r w:rsidR="00B01162" w:rsidRPr="003871EC">
        <w:t xml:space="preserve">Changes in non-cash working capital items consisted of a </w:t>
      </w:r>
      <w:r w:rsidR="007B168C" w:rsidRPr="003871EC">
        <w:t xml:space="preserve">change </w:t>
      </w:r>
      <w:r w:rsidR="00BE7CA5" w:rsidRPr="003871EC">
        <w:t>in accounts receivable of $</w:t>
      </w:r>
      <w:r w:rsidR="0006616E" w:rsidRPr="003871EC">
        <w:t>8</w:t>
      </w:r>
      <w:r w:rsidR="00C60517">
        <w:t>0</w:t>
      </w:r>
      <w:r w:rsidR="0036145A" w:rsidRPr="003871EC">
        <w:t>,</w:t>
      </w:r>
      <w:r w:rsidR="00C60517">
        <w:t>853</w:t>
      </w:r>
      <w:r w:rsidR="00780EC5" w:rsidRPr="003871EC">
        <w:t xml:space="preserve"> </w:t>
      </w:r>
      <w:r w:rsidR="00994FE1" w:rsidRPr="003871EC">
        <w:t>(20</w:t>
      </w:r>
      <w:r w:rsidR="00EE0D05" w:rsidRPr="003871EC">
        <w:t>2</w:t>
      </w:r>
      <w:r w:rsidR="00C60517">
        <w:t>3</w:t>
      </w:r>
      <w:r w:rsidR="002B216F" w:rsidRPr="003871EC">
        <w:t xml:space="preserve"> </w:t>
      </w:r>
      <w:r w:rsidR="00043D29" w:rsidRPr="003871EC">
        <w:t>–</w:t>
      </w:r>
      <w:r w:rsidR="00994FE1" w:rsidRPr="003871EC">
        <w:t xml:space="preserve"> $</w:t>
      </w:r>
      <w:r w:rsidR="00C60517">
        <w:t>4</w:t>
      </w:r>
      <w:r w:rsidR="00390107" w:rsidRPr="003871EC">
        <w:t>,</w:t>
      </w:r>
      <w:r w:rsidR="00C60517">
        <w:t>516</w:t>
      </w:r>
      <w:r w:rsidR="00994FE1" w:rsidRPr="003871EC">
        <w:t>)</w:t>
      </w:r>
      <w:r w:rsidR="00DB627B" w:rsidRPr="003871EC">
        <w:t xml:space="preserve">, </w:t>
      </w:r>
      <w:r w:rsidR="00437888" w:rsidRPr="003871EC">
        <w:t xml:space="preserve">a </w:t>
      </w:r>
      <w:r w:rsidR="007B168C" w:rsidRPr="003871EC">
        <w:t xml:space="preserve">change </w:t>
      </w:r>
      <w:r w:rsidR="00437888" w:rsidRPr="003871EC">
        <w:t xml:space="preserve">in prepaid expenses of </w:t>
      </w:r>
      <w:r w:rsidR="004D6B28" w:rsidRPr="003871EC">
        <w:t>$</w:t>
      </w:r>
      <w:r w:rsidR="00C60517">
        <w:t>99</w:t>
      </w:r>
      <w:r w:rsidR="0036145A" w:rsidRPr="003871EC">
        <w:t>,</w:t>
      </w:r>
      <w:r w:rsidR="00C60517">
        <w:t>275</w:t>
      </w:r>
      <w:r w:rsidR="004D6B28" w:rsidRPr="003871EC">
        <w:t xml:space="preserve"> (20</w:t>
      </w:r>
      <w:r w:rsidR="00EE0D05" w:rsidRPr="003871EC">
        <w:t>2</w:t>
      </w:r>
      <w:r w:rsidR="00C60517">
        <w:t>3</w:t>
      </w:r>
      <w:r w:rsidR="004D6B28" w:rsidRPr="003871EC">
        <w:t xml:space="preserve"> </w:t>
      </w:r>
      <w:r w:rsidR="00240600" w:rsidRPr="003871EC">
        <w:t>–</w:t>
      </w:r>
      <w:r w:rsidR="004D6B28" w:rsidRPr="003871EC">
        <w:t xml:space="preserve"> $</w:t>
      </w:r>
      <w:r w:rsidR="00C60517">
        <w:t>34</w:t>
      </w:r>
      <w:r w:rsidR="0036145A" w:rsidRPr="003871EC">
        <w:t>,</w:t>
      </w:r>
      <w:r w:rsidR="00C60517">
        <w:t>602</w:t>
      </w:r>
      <w:r w:rsidR="009239E9" w:rsidRPr="003871EC">
        <w:t>)</w:t>
      </w:r>
      <w:r w:rsidR="00184719" w:rsidRPr="003871EC">
        <w:t>,</w:t>
      </w:r>
      <w:r w:rsidR="0036145A" w:rsidRPr="003871EC">
        <w:t xml:space="preserve"> </w:t>
      </w:r>
      <w:r w:rsidR="00BE7CA5" w:rsidRPr="003871EC">
        <w:t xml:space="preserve">a </w:t>
      </w:r>
      <w:r w:rsidR="007B168C" w:rsidRPr="003871EC">
        <w:t>change i</w:t>
      </w:r>
      <w:r w:rsidR="00437888" w:rsidRPr="003871EC">
        <w:t>n accounts payable and accrued liabilities</w:t>
      </w:r>
      <w:r w:rsidR="00F40362" w:rsidRPr="003871EC">
        <w:t xml:space="preserve"> of $</w:t>
      </w:r>
      <w:r w:rsidR="00C60517">
        <w:t>10,115</w:t>
      </w:r>
      <w:r w:rsidR="00F40362" w:rsidRPr="003871EC">
        <w:t xml:space="preserve"> (202</w:t>
      </w:r>
      <w:r w:rsidR="00C60517">
        <w:t>3</w:t>
      </w:r>
      <w:r w:rsidR="00F40362" w:rsidRPr="003871EC">
        <w:t xml:space="preserve"> - $</w:t>
      </w:r>
      <w:r w:rsidR="00C60517">
        <w:t>3</w:t>
      </w:r>
      <w:r w:rsidR="003871EC" w:rsidRPr="003871EC">
        <w:t>,</w:t>
      </w:r>
      <w:r w:rsidR="00C60517">
        <w:t>360</w:t>
      </w:r>
      <w:r w:rsidR="00F40362" w:rsidRPr="003871EC">
        <w:t>)</w:t>
      </w:r>
      <w:r w:rsidR="00437888" w:rsidRPr="003871EC">
        <w:t xml:space="preserve"> and </w:t>
      </w:r>
      <w:r w:rsidR="00F40362" w:rsidRPr="003871EC">
        <w:t xml:space="preserve">a change in </w:t>
      </w:r>
      <w:r w:rsidR="00437888" w:rsidRPr="003871EC">
        <w:t>due to related parties</w:t>
      </w:r>
      <w:r w:rsidR="00437888" w:rsidRPr="00C8220E">
        <w:t xml:space="preserve"> of </w:t>
      </w:r>
      <w:r w:rsidR="009D46F0" w:rsidRPr="00C8220E">
        <w:t>$</w:t>
      </w:r>
      <w:r w:rsidR="00C60517">
        <w:t>11</w:t>
      </w:r>
      <w:r w:rsidR="0042653A" w:rsidRPr="00C8220E">
        <w:t>,</w:t>
      </w:r>
      <w:r w:rsidR="00C60517">
        <w:t>623</w:t>
      </w:r>
      <w:r w:rsidR="00163BD4" w:rsidRPr="00C8220E">
        <w:t xml:space="preserve"> </w:t>
      </w:r>
      <w:r w:rsidR="00994FE1" w:rsidRPr="00C8220E">
        <w:t>(20</w:t>
      </w:r>
      <w:r w:rsidR="00910060" w:rsidRPr="00C8220E">
        <w:t>2</w:t>
      </w:r>
      <w:r w:rsidR="00C60517">
        <w:t>3</w:t>
      </w:r>
      <w:r w:rsidR="00994FE1" w:rsidRPr="00C8220E">
        <w:t xml:space="preserve"> </w:t>
      </w:r>
      <w:r w:rsidR="00043D29" w:rsidRPr="00C8220E">
        <w:t>–</w:t>
      </w:r>
      <w:r w:rsidR="00994FE1" w:rsidRPr="00C8220E">
        <w:t xml:space="preserve"> $</w:t>
      </w:r>
      <w:r w:rsidR="00C60517">
        <w:t>22</w:t>
      </w:r>
      <w:r w:rsidR="003871EC">
        <w:t>,</w:t>
      </w:r>
      <w:r w:rsidR="00C60517">
        <w:t>310</w:t>
      </w:r>
      <w:r w:rsidR="00CE490D" w:rsidRPr="00C8220E">
        <w:t>)</w:t>
      </w:r>
      <w:r w:rsidR="00437888" w:rsidRPr="00C8220E">
        <w:t>.</w:t>
      </w:r>
      <w:r w:rsidR="00431CC0" w:rsidRPr="00C8220E">
        <w:t xml:space="preserve"> </w:t>
      </w:r>
    </w:p>
    <w:p w14:paraId="616FE324" w14:textId="77777777" w:rsidR="00D85237" w:rsidRPr="00341349" w:rsidRDefault="007629E4">
      <w:pPr>
        <w:pStyle w:val="BodyText3"/>
        <w:tabs>
          <w:tab w:val="clear" w:pos="0"/>
          <w:tab w:val="clear" w:pos="990"/>
          <w:tab w:val="clear" w:pos="1260"/>
        </w:tabs>
        <w:autoSpaceDE/>
        <w:autoSpaceDN/>
        <w:adjustRightInd/>
        <w:rPr>
          <w:highlight w:val="yellow"/>
        </w:rPr>
      </w:pPr>
      <w:r w:rsidRPr="00341349">
        <w:rPr>
          <w:highlight w:val="yellow"/>
        </w:rPr>
        <w:t xml:space="preserve"> </w:t>
      </w:r>
    </w:p>
    <w:p w14:paraId="1C69D5C4" w14:textId="56A18B9D" w:rsidR="00AE4A73" w:rsidRPr="00C8220E" w:rsidRDefault="00D40BF1">
      <w:pPr>
        <w:jc w:val="both"/>
      </w:pPr>
      <w:r w:rsidRPr="00C8220E">
        <w:t xml:space="preserve">The current </w:t>
      </w:r>
      <w:r w:rsidR="0036145A" w:rsidRPr="00C8220E">
        <w:t>period</w:t>
      </w:r>
      <w:r w:rsidRPr="00C8220E">
        <w:t xml:space="preserve"> </w:t>
      </w:r>
      <w:r w:rsidR="00DB0D8B" w:rsidRPr="00C8220E">
        <w:t>used</w:t>
      </w:r>
      <w:r w:rsidR="00240600" w:rsidRPr="00C8220E">
        <w:t xml:space="preserve"> </w:t>
      </w:r>
      <w:r w:rsidR="00473290" w:rsidRPr="00C8220E">
        <w:t>net cash of $</w:t>
      </w:r>
      <w:r w:rsidR="00C60517">
        <w:t>70</w:t>
      </w:r>
      <w:r w:rsidR="00A03390" w:rsidRPr="00C8220E">
        <w:t>,</w:t>
      </w:r>
      <w:r w:rsidR="00C60517">
        <w:t>406</w:t>
      </w:r>
      <w:r w:rsidR="00473290" w:rsidRPr="00C8220E">
        <w:t xml:space="preserve"> </w:t>
      </w:r>
      <w:r w:rsidR="002E7E53" w:rsidRPr="00C8220E">
        <w:t>(20</w:t>
      </w:r>
      <w:r w:rsidR="00163BD4" w:rsidRPr="00C8220E">
        <w:t>2</w:t>
      </w:r>
      <w:r w:rsidR="00C60517">
        <w:t>3</w:t>
      </w:r>
      <w:r w:rsidR="002E7E53" w:rsidRPr="00C8220E">
        <w:t xml:space="preserve"> </w:t>
      </w:r>
      <w:r w:rsidR="00240600" w:rsidRPr="00C8220E">
        <w:t>–</w:t>
      </w:r>
      <w:r w:rsidR="009239E9" w:rsidRPr="00C8220E">
        <w:t xml:space="preserve"> </w:t>
      </w:r>
      <w:r w:rsidR="002E7E53" w:rsidRPr="00C8220E">
        <w:t>$</w:t>
      </w:r>
      <w:r w:rsidR="00C60517">
        <w:t>411</w:t>
      </w:r>
      <w:r w:rsidR="00BF2967" w:rsidRPr="00C8220E">
        <w:t>,</w:t>
      </w:r>
      <w:r w:rsidR="00C60517">
        <w:t>929</w:t>
      </w:r>
      <w:r w:rsidR="002E7E53" w:rsidRPr="00C8220E">
        <w:t xml:space="preserve">) </w:t>
      </w:r>
      <w:r w:rsidR="00DB0D8B" w:rsidRPr="00C8220E">
        <w:t xml:space="preserve">in </w:t>
      </w:r>
      <w:r w:rsidR="00473290" w:rsidRPr="00C8220E">
        <w:t>i</w:t>
      </w:r>
      <w:r w:rsidRPr="00C8220E">
        <w:t xml:space="preserve">nvesting </w:t>
      </w:r>
      <w:r w:rsidR="003871EC">
        <w:t xml:space="preserve">consisting </w:t>
      </w:r>
      <w:r w:rsidR="00C60517">
        <w:t xml:space="preserve">of $3,262 (2023 - $Nil) incurred for exploration advances and $67,144 (2023 - $411,929) incurred on </w:t>
      </w:r>
      <w:r w:rsidR="003871EC">
        <w:t xml:space="preserve">exploration and evaluation assets. </w:t>
      </w:r>
      <w:r w:rsidR="00473290" w:rsidRPr="00C8220E">
        <w:t xml:space="preserve"> </w:t>
      </w:r>
    </w:p>
    <w:p w14:paraId="233A7315" w14:textId="77777777" w:rsidR="00D40BF1" w:rsidRPr="00341349" w:rsidRDefault="00D40BF1">
      <w:pPr>
        <w:jc w:val="both"/>
        <w:rPr>
          <w:highlight w:val="yellow"/>
        </w:rPr>
      </w:pPr>
    </w:p>
    <w:p w14:paraId="145DACEC" w14:textId="17B3CB6F" w:rsidR="007A5F9F" w:rsidRDefault="00BF2967" w:rsidP="001B49CC">
      <w:pPr>
        <w:tabs>
          <w:tab w:val="left" w:pos="0"/>
          <w:tab w:val="left" w:pos="1260"/>
          <w:tab w:val="right" w:pos="10080"/>
        </w:tabs>
        <w:jc w:val="both"/>
      </w:pPr>
      <w:r w:rsidRPr="00C8220E">
        <w:t>Net cash of $</w:t>
      </w:r>
      <w:r w:rsidR="00C60517">
        <w:t>183</w:t>
      </w:r>
      <w:r w:rsidRPr="00C8220E">
        <w:t>,</w:t>
      </w:r>
      <w:r w:rsidR="00C60517">
        <w:t>207</w:t>
      </w:r>
      <w:r w:rsidRPr="00C8220E">
        <w:t xml:space="preserve"> (202</w:t>
      </w:r>
      <w:r w:rsidR="00C60517">
        <w:t>3</w:t>
      </w:r>
      <w:r w:rsidRPr="00C8220E">
        <w:t xml:space="preserve"> </w:t>
      </w:r>
      <w:r w:rsidR="00C8220E" w:rsidRPr="00C8220E">
        <w:t>–</w:t>
      </w:r>
      <w:r w:rsidRPr="00C8220E">
        <w:t xml:space="preserve"> $</w:t>
      </w:r>
      <w:r w:rsidR="003871EC">
        <w:t>Nil</w:t>
      </w:r>
      <w:r w:rsidRPr="00C8220E">
        <w:t>) was provided by financing</w:t>
      </w:r>
      <w:r w:rsidR="00BC09F8" w:rsidRPr="00C8220E">
        <w:t xml:space="preserve"> activities </w:t>
      </w:r>
      <w:r w:rsidR="00CD3EE0" w:rsidRPr="00C8220E">
        <w:t xml:space="preserve">during the current </w:t>
      </w:r>
      <w:r w:rsidRPr="00C8220E">
        <w:t xml:space="preserve">period. This is comprised of </w:t>
      </w:r>
      <w:r w:rsidR="00C8220E" w:rsidRPr="00C8220E">
        <w:t>$</w:t>
      </w:r>
      <w:r w:rsidR="00C60517">
        <w:t>202</w:t>
      </w:r>
      <w:r w:rsidR="003871EC">
        <w:t>,</w:t>
      </w:r>
      <w:r w:rsidR="00C60517">
        <w:t>330</w:t>
      </w:r>
      <w:r w:rsidR="00C8220E" w:rsidRPr="00C8220E">
        <w:t xml:space="preserve"> (202</w:t>
      </w:r>
      <w:r w:rsidR="00C60517">
        <w:t>3</w:t>
      </w:r>
      <w:r w:rsidR="00C8220E" w:rsidRPr="00C8220E">
        <w:t xml:space="preserve"> - $Nil) received </w:t>
      </w:r>
      <w:r w:rsidR="003871EC">
        <w:t>as loan</w:t>
      </w:r>
      <w:r w:rsidR="00C60517">
        <w:t>s</w:t>
      </w:r>
      <w:r w:rsidR="003871EC">
        <w:t xml:space="preserve"> </w:t>
      </w:r>
      <w:r w:rsidR="0071624D">
        <w:t xml:space="preserve">from a related party </w:t>
      </w:r>
      <w:r w:rsidR="003871EC">
        <w:t>and $</w:t>
      </w:r>
      <w:r w:rsidR="00C60517">
        <w:t>19</w:t>
      </w:r>
      <w:r w:rsidR="003871EC">
        <w:t>,</w:t>
      </w:r>
      <w:r w:rsidR="00C60517">
        <w:t>123</w:t>
      </w:r>
      <w:r w:rsidR="002666F4">
        <w:t xml:space="preserve"> (202</w:t>
      </w:r>
      <w:r w:rsidR="00C60517">
        <w:t>3</w:t>
      </w:r>
      <w:r w:rsidR="002666F4">
        <w:t xml:space="preserve"> – </w:t>
      </w:r>
      <w:r w:rsidR="00D15068">
        <w:t>$</w:t>
      </w:r>
      <w:r w:rsidR="002666F4">
        <w:t>Nil) paid as a lease liability</w:t>
      </w:r>
      <w:r w:rsidR="00CD3EE0" w:rsidRPr="00C8220E">
        <w:t>.</w:t>
      </w:r>
      <w:r w:rsidR="00CD3EE0">
        <w:t xml:space="preserve"> </w:t>
      </w:r>
      <w:r w:rsidR="00AA12FD">
        <w:t xml:space="preserve">      </w:t>
      </w:r>
      <w:r w:rsidR="00A33139">
        <w:t xml:space="preserve"> </w:t>
      </w:r>
      <w:r w:rsidR="009A1DF4">
        <w:t xml:space="preserve">  </w:t>
      </w:r>
      <w:r w:rsidR="00FD3044">
        <w:t xml:space="preserve"> </w:t>
      </w:r>
      <w:r w:rsidR="003752F2">
        <w:t xml:space="preserve">  </w:t>
      </w:r>
      <w:r w:rsidR="00AE1B8E">
        <w:t xml:space="preserve"> </w:t>
      </w:r>
      <w:r w:rsidR="0085643C">
        <w:t xml:space="preserve"> </w:t>
      </w:r>
    </w:p>
    <w:p w14:paraId="3F15F57E" w14:textId="77777777" w:rsidR="00A26CA0" w:rsidRDefault="00A26CA0" w:rsidP="001B49CC">
      <w:pPr>
        <w:tabs>
          <w:tab w:val="left" w:pos="0"/>
          <w:tab w:val="left" w:pos="1260"/>
          <w:tab w:val="right" w:pos="10080"/>
        </w:tabs>
        <w:jc w:val="both"/>
      </w:pPr>
    </w:p>
    <w:p w14:paraId="68BF875D" w14:textId="77777777" w:rsidR="007A5F9F" w:rsidRDefault="007A5F9F" w:rsidP="00706D73">
      <w:pPr>
        <w:tabs>
          <w:tab w:val="left" w:pos="0"/>
          <w:tab w:val="left" w:pos="1260"/>
          <w:tab w:val="right" w:pos="10080"/>
        </w:tabs>
        <w:jc w:val="both"/>
      </w:pPr>
      <w:r>
        <w:t xml:space="preserve">There can be no assurance that the Company will be able to obtain adequate financing in the future or that the terms of such financing will be </w:t>
      </w:r>
      <w:proofErr w:type="spellStart"/>
      <w:r>
        <w:t>favourable</w:t>
      </w:r>
      <w:proofErr w:type="spellEnd"/>
      <w:r>
        <w:t xml:space="preserve">. If adequate financing is not available when required, the Company may be required to delay, scale back or eliminate various programs and may be unable to continue in operation.  The Company may seek such additional financing through debt or equity offerings, but there can be no assurance that such financing will be available on terms acceptable to the Company or at all.  Any equity offering will result in dilution to the ownership interests of the Company’s shareholders and may result in dilution to the value of such interests.  </w:t>
      </w:r>
    </w:p>
    <w:p w14:paraId="16B8EC61" w14:textId="77777777" w:rsidR="00663815" w:rsidRDefault="00663815" w:rsidP="00706D73">
      <w:pPr>
        <w:tabs>
          <w:tab w:val="left" w:pos="0"/>
          <w:tab w:val="left" w:pos="1260"/>
          <w:tab w:val="right" w:pos="10080"/>
        </w:tabs>
        <w:jc w:val="both"/>
      </w:pPr>
    </w:p>
    <w:p w14:paraId="4F5106CD" w14:textId="77777777" w:rsidR="007A5F9F" w:rsidRDefault="007A5F9F" w:rsidP="007A5F9F">
      <w:pPr>
        <w:jc w:val="both"/>
      </w:pPr>
      <w:r>
        <w:t>The Company’s revenues, if any, are expected to be in large part derived from the mining and sale of precious minerals or base metals or interests related thereto.  The economics of developing and producing mineral properties are affected by many factors including the cost of operations, variations in the grade of ore mined and the prices of minerals and metals.  Depending on the foregoing, the Company may determine that it is impractical to continue commercial production.  Prices, which have fluctuated significantly, are affected by many factors beyond the Company’s control including anticipated changes in international investment patterns and monetary systems, economic growth rates and political developments.  The supply of precious minerals or base metals is related to the economics of new mine production and operating costs for existing producers, as well as the demand from financial institutions and consumers.  If the market price falls below the Company’s full production costs and remains at such levels for any sustained period of time, the Company will experience losses and may decide to discontinue operations or other development of a project or mining at one or more of its properties.</w:t>
      </w:r>
    </w:p>
    <w:p w14:paraId="7A9A3B3B" w14:textId="77777777" w:rsidR="0034113F" w:rsidRDefault="0034113F" w:rsidP="002639F9">
      <w:pPr>
        <w:pStyle w:val="BodyText3"/>
        <w:rPr>
          <w:b/>
          <w:sz w:val="24"/>
          <w:szCs w:val="24"/>
        </w:rPr>
      </w:pPr>
    </w:p>
    <w:p w14:paraId="0345B302" w14:textId="77777777" w:rsidR="00E02735" w:rsidRPr="00944B43" w:rsidRDefault="00944B43" w:rsidP="002639F9">
      <w:pPr>
        <w:pStyle w:val="BodyText3"/>
        <w:rPr>
          <w:b/>
          <w:sz w:val="24"/>
          <w:szCs w:val="24"/>
        </w:rPr>
      </w:pPr>
      <w:r w:rsidRPr="008C26CE">
        <w:rPr>
          <w:b/>
          <w:sz w:val="24"/>
          <w:szCs w:val="24"/>
        </w:rPr>
        <w:t>Financial Instruments and Risk Management</w:t>
      </w:r>
    </w:p>
    <w:p w14:paraId="23F0F55F" w14:textId="77777777" w:rsidR="00944B43" w:rsidRDefault="00944B43" w:rsidP="002639F9">
      <w:pPr>
        <w:pStyle w:val="BodyText3"/>
      </w:pPr>
    </w:p>
    <w:p w14:paraId="6E020658" w14:textId="77777777" w:rsidR="00B11923" w:rsidRPr="00B11923" w:rsidRDefault="00B11923" w:rsidP="002639F9">
      <w:pPr>
        <w:pStyle w:val="BodyText3"/>
        <w:rPr>
          <w:b/>
        </w:rPr>
      </w:pPr>
      <w:r w:rsidRPr="00B11923">
        <w:rPr>
          <w:b/>
        </w:rPr>
        <w:t>Fair value</w:t>
      </w:r>
    </w:p>
    <w:p w14:paraId="5EBA3DBA" w14:textId="77777777" w:rsidR="00B11923" w:rsidRDefault="00B11923" w:rsidP="002639F9">
      <w:pPr>
        <w:pStyle w:val="BodyText3"/>
      </w:pPr>
    </w:p>
    <w:p w14:paraId="29DEE7CE" w14:textId="77777777" w:rsidR="001B49CC" w:rsidRPr="004A21C2" w:rsidRDefault="001B49CC" w:rsidP="001B49CC">
      <w:pPr>
        <w:jc w:val="both"/>
      </w:pPr>
      <w:r w:rsidRPr="004A21C2">
        <w:rPr>
          <w:lang w:val="en-CA"/>
        </w:rPr>
        <w:t>IFRS 7 establishes a fair value hierarchy that prioritizes the input to valuation techniques used to measure fair value as follows:</w:t>
      </w:r>
    </w:p>
    <w:p w14:paraId="676F9E81" w14:textId="77777777" w:rsidR="001B49CC" w:rsidRPr="004A21C2" w:rsidRDefault="001B49CC" w:rsidP="001B49CC">
      <w:pPr>
        <w:jc w:val="both"/>
        <w:rPr>
          <w:b/>
          <w:lang w:val="en-GB"/>
        </w:rPr>
      </w:pPr>
    </w:p>
    <w:p w14:paraId="40209E71" w14:textId="77777777" w:rsidR="001B49CC" w:rsidRPr="004A21C2" w:rsidRDefault="001B49CC" w:rsidP="0060143C">
      <w:pPr>
        <w:tabs>
          <w:tab w:val="left" w:pos="900"/>
        </w:tabs>
        <w:jc w:val="both"/>
      </w:pPr>
      <w:r w:rsidRPr="004A21C2">
        <w:t xml:space="preserve">Level 1 – </w:t>
      </w:r>
      <w:r w:rsidR="0060143C">
        <w:tab/>
      </w:r>
      <w:r w:rsidRPr="004A21C2">
        <w:t>quoted prices (unadjusted) in active markets for identical assets or liabilities;</w:t>
      </w:r>
    </w:p>
    <w:p w14:paraId="3E6B3E40" w14:textId="77777777" w:rsidR="001B49CC" w:rsidRPr="004A21C2" w:rsidRDefault="001B49CC" w:rsidP="0060143C">
      <w:pPr>
        <w:ind w:left="900" w:hanging="900"/>
        <w:jc w:val="both"/>
      </w:pPr>
      <w:r w:rsidRPr="004A21C2">
        <w:t xml:space="preserve">Level 2 – </w:t>
      </w:r>
      <w:r w:rsidR="0060143C">
        <w:tab/>
      </w:r>
      <w:r w:rsidRPr="004A21C2">
        <w:t>inputs other than quoted prices included in Level 1 that are observable for the asset or liability, either directly (i.e. as prices) or indirectly (i.e. derived from prices); and</w:t>
      </w:r>
    </w:p>
    <w:p w14:paraId="333FF7FD" w14:textId="77777777" w:rsidR="001B49CC" w:rsidRPr="004A21C2" w:rsidRDefault="001B49CC" w:rsidP="0060143C">
      <w:pPr>
        <w:tabs>
          <w:tab w:val="left" w:pos="900"/>
        </w:tabs>
        <w:jc w:val="both"/>
      </w:pPr>
      <w:r w:rsidRPr="004A21C2">
        <w:t xml:space="preserve">Level 3 – </w:t>
      </w:r>
      <w:r w:rsidR="0060143C">
        <w:tab/>
      </w:r>
      <w:r w:rsidRPr="004A21C2">
        <w:t>inputs for the asset or liability that are not based on observable market data (unobservable inputs).</w:t>
      </w:r>
    </w:p>
    <w:p w14:paraId="38197D7A" w14:textId="77777777" w:rsidR="003C2B88" w:rsidRDefault="003C2B88" w:rsidP="001B49CC">
      <w:pPr>
        <w:jc w:val="both"/>
      </w:pPr>
    </w:p>
    <w:p w14:paraId="44EF7F9F" w14:textId="1B3DE0B2" w:rsidR="001B49CC" w:rsidRPr="004A21C2" w:rsidRDefault="001B49CC" w:rsidP="001B49CC">
      <w:pPr>
        <w:jc w:val="both"/>
      </w:pPr>
      <w:r w:rsidRPr="004A21C2">
        <w:t xml:space="preserve">As at </w:t>
      </w:r>
      <w:r w:rsidR="00C60517">
        <w:t>February</w:t>
      </w:r>
      <w:r w:rsidR="00D40073">
        <w:t xml:space="preserve"> </w:t>
      </w:r>
      <w:r w:rsidR="00C60517">
        <w:t>29</w:t>
      </w:r>
      <w:r w:rsidR="00B828CD">
        <w:t>, 202</w:t>
      </w:r>
      <w:r w:rsidR="00C60517">
        <w:t>4</w:t>
      </w:r>
      <w:r w:rsidRPr="004A21C2">
        <w:t>, the Company’s financial instruments are comprised of cash, a</w:t>
      </w:r>
      <w:r w:rsidR="00B11923">
        <w:t>ccounts</w:t>
      </w:r>
      <w:r w:rsidRPr="004A21C2">
        <w:t xml:space="preserve"> receivable</w:t>
      </w:r>
      <w:r w:rsidR="00285AB8">
        <w:t xml:space="preserve">, </w:t>
      </w:r>
      <w:r w:rsidRPr="004A21C2">
        <w:t>accounts payable</w:t>
      </w:r>
      <w:r w:rsidR="00B11923">
        <w:t xml:space="preserve"> and accrued liabilities and</w:t>
      </w:r>
      <w:r>
        <w:t xml:space="preserve"> </w:t>
      </w:r>
      <w:r w:rsidR="00285AB8">
        <w:t>due to related parties</w:t>
      </w:r>
      <w:r w:rsidR="00B11923">
        <w:t xml:space="preserve">. </w:t>
      </w:r>
      <w:r w:rsidR="004263D9">
        <w:t xml:space="preserve">Cash is carried at fair value using a level 1 fair value measurement. </w:t>
      </w:r>
      <w:r w:rsidRPr="004A21C2">
        <w:t>The carrying value of a</w:t>
      </w:r>
      <w:r w:rsidR="00B11923">
        <w:t>ccounts</w:t>
      </w:r>
      <w:r w:rsidRPr="004A21C2">
        <w:t xml:space="preserve"> receivable</w:t>
      </w:r>
      <w:r>
        <w:t xml:space="preserve"> </w:t>
      </w:r>
      <w:r w:rsidRPr="004A21C2">
        <w:t xml:space="preserve">and accounts payable and accrued liabilities </w:t>
      </w:r>
      <w:r w:rsidR="00285AB8">
        <w:t xml:space="preserve">and due to related parties </w:t>
      </w:r>
      <w:r w:rsidRPr="004A21C2">
        <w:t>approximate their fair values due to the relatively short periods to maturity of these financial instruments.</w:t>
      </w:r>
    </w:p>
    <w:p w14:paraId="19E161E8" w14:textId="223387B0" w:rsidR="001B49CC" w:rsidRDefault="001B49CC" w:rsidP="001B49CC">
      <w:pPr>
        <w:pStyle w:val="ListContinue"/>
        <w:spacing w:after="0"/>
        <w:ind w:left="0"/>
        <w:jc w:val="both"/>
        <w:rPr>
          <w:b/>
        </w:rPr>
      </w:pPr>
      <w:r>
        <w:rPr>
          <w:b/>
        </w:rPr>
        <w:lastRenderedPageBreak/>
        <w:t>Financial risk factors</w:t>
      </w:r>
    </w:p>
    <w:p w14:paraId="7675BC2C" w14:textId="77777777" w:rsidR="001B49CC" w:rsidRDefault="001B49CC" w:rsidP="001B49CC">
      <w:pPr>
        <w:pStyle w:val="ListContinue"/>
        <w:spacing w:after="0"/>
        <w:ind w:left="0"/>
        <w:jc w:val="both"/>
        <w:rPr>
          <w:b/>
        </w:rPr>
      </w:pPr>
    </w:p>
    <w:p w14:paraId="1DC0DB59" w14:textId="77777777" w:rsidR="001B49CC" w:rsidRPr="00837D6D" w:rsidRDefault="001B49CC" w:rsidP="001B49CC">
      <w:pPr>
        <w:tabs>
          <w:tab w:val="left" w:pos="720"/>
        </w:tabs>
        <w:spacing w:line="228" w:lineRule="auto"/>
        <w:jc w:val="both"/>
      </w:pPr>
      <w:r w:rsidRPr="00837D6D">
        <w:t xml:space="preserve">The Company has exposure to the following risks from its use of financial instruments: credit risk, liquidity risk and market risk. Management, the Board of </w:t>
      </w:r>
      <w:proofErr w:type="gramStart"/>
      <w:r w:rsidRPr="00837D6D">
        <w:t>Directors</w:t>
      </w:r>
      <w:proofErr w:type="gramEnd"/>
      <w:r w:rsidRPr="00837D6D">
        <w:t xml:space="preserve"> and the Audit Committee monitor risk management activities and review the adequacy of such activities. </w:t>
      </w:r>
    </w:p>
    <w:p w14:paraId="2BE59586" w14:textId="77777777" w:rsidR="00961D8C" w:rsidRDefault="00961D8C" w:rsidP="001B49CC">
      <w:pPr>
        <w:pStyle w:val="Default"/>
        <w:jc w:val="both"/>
        <w:rPr>
          <w:rFonts w:ascii="Times New Roman" w:hAnsi="Times New Roman" w:cs="Times New Roman"/>
          <w:i/>
          <w:color w:val="auto"/>
          <w:sz w:val="20"/>
          <w:szCs w:val="20"/>
        </w:rPr>
      </w:pPr>
    </w:p>
    <w:p w14:paraId="761D3755" w14:textId="0B67F5C9" w:rsidR="001B49CC" w:rsidRPr="0061227F" w:rsidRDefault="001B49CC" w:rsidP="001B49CC">
      <w:pPr>
        <w:pStyle w:val="Default"/>
        <w:jc w:val="both"/>
        <w:rPr>
          <w:rFonts w:ascii="Times New Roman" w:hAnsi="Times New Roman" w:cs="Times New Roman"/>
          <w:color w:val="auto"/>
          <w:sz w:val="20"/>
          <w:szCs w:val="20"/>
        </w:rPr>
      </w:pPr>
      <w:r w:rsidRPr="00B11923">
        <w:rPr>
          <w:rFonts w:ascii="Times New Roman" w:hAnsi="Times New Roman" w:cs="Times New Roman"/>
          <w:i/>
          <w:color w:val="auto"/>
          <w:sz w:val="20"/>
          <w:szCs w:val="20"/>
        </w:rPr>
        <w:t xml:space="preserve">Credit risk </w:t>
      </w:r>
    </w:p>
    <w:p w14:paraId="59E0A280" w14:textId="77777777" w:rsidR="001B49CC" w:rsidRPr="007E70BE" w:rsidRDefault="001B49CC" w:rsidP="001B49CC">
      <w:pPr>
        <w:pStyle w:val="Default"/>
        <w:jc w:val="both"/>
        <w:rPr>
          <w:rFonts w:ascii="Times New Roman" w:hAnsi="Times New Roman" w:cs="Times New Roman"/>
          <w:color w:val="auto"/>
          <w:sz w:val="20"/>
          <w:szCs w:val="20"/>
        </w:rPr>
      </w:pPr>
    </w:p>
    <w:p w14:paraId="19C6F4A0" w14:textId="2FBA11FF" w:rsidR="001B49CC" w:rsidRPr="007E70BE" w:rsidRDefault="001B49CC" w:rsidP="001B49CC">
      <w:pPr>
        <w:pStyle w:val="Default"/>
        <w:tabs>
          <w:tab w:val="left" w:pos="720"/>
        </w:tabs>
        <w:jc w:val="both"/>
        <w:rPr>
          <w:rFonts w:ascii="Times New Roman" w:hAnsi="Times New Roman" w:cs="Times New Roman"/>
          <w:color w:val="auto"/>
          <w:sz w:val="20"/>
          <w:szCs w:val="20"/>
        </w:rPr>
      </w:pPr>
      <w:r w:rsidRPr="007E70BE">
        <w:rPr>
          <w:rFonts w:ascii="Times New Roman" w:hAnsi="Times New Roman" w:cs="Times New Roman"/>
          <w:color w:val="auto"/>
          <w:sz w:val="20"/>
          <w:szCs w:val="20"/>
        </w:rPr>
        <w:t xml:space="preserve">Credit risk is the risk of loss associated with a counterparty’s inability to fulfill its payment obligations. Management believes that the credit risk concentration with respect to financial instruments included in cash is remote.  The Company’s receivables </w:t>
      </w:r>
      <w:r w:rsidR="00B11923">
        <w:rPr>
          <w:rFonts w:ascii="Times New Roman" w:hAnsi="Times New Roman" w:cs="Times New Roman"/>
          <w:color w:val="auto"/>
          <w:sz w:val="20"/>
          <w:szCs w:val="20"/>
        </w:rPr>
        <w:t>consist of</w:t>
      </w:r>
      <w:r w:rsidRPr="007E70BE">
        <w:rPr>
          <w:rFonts w:ascii="Times New Roman" w:hAnsi="Times New Roman" w:cs="Times New Roman"/>
          <w:color w:val="auto"/>
          <w:sz w:val="20"/>
          <w:szCs w:val="20"/>
        </w:rPr>
        <w:t xml:space="preserve"> </w:t>
      </w:r>
      <w:r w:rsidR="00CD41EC">
        <w:rPr>
          <w:rFonts w:ascii="Times New Roman" w:hAnsi="Times New Roman" w:cs="Times New Roman"/>
          <w:color w:val="auto"/>
          <w:sz w:val="20"/>
          <w:szCs w:val="20"/>
        </w:rPr>
        <w:t>GST</w:t>
      </w:r>
      <w:r w:rsidRPr="007E70BE">
        <w:rPr>
          <w:rFonts w:ascii="Times New Roman" w:hAnsi="Times New Roman" w:cs="Times New Roman"/>
          <w:color w:val="auto"/>
          <w:sz w:val="20"/>
          <w:szCs w:val="20"/>
        </w:rPr>
        <w:t xml:space="preserve"> recoverab</w:t>
      </w:r>
      <w:r w:rsidR="0061227F">
        <w:rPr>
          <w:rFonts w:ascii="Times New Roman" w:hAnsi="Times New Roman" w:cs="Times New Roman"/>
          <w:color w:val="auto"/>
          <w:sz w:val="20"/>
          <w:szCs w:val="20"/>
        </w:rPr>
        <w:t>le from the Canadian Government</w:t>
      </w:r>
      <w:r w:rsidR="00961D8C">
        <w:rPr>
          <w:rFonts w:ascii="Times New Roman" w:hAnsi="Times New Roman" w:cs="Times New Roman"/>
          <w:color w:val="auto"/>
          <w:sz w:val="20"/>
          <w:szCs w:val="20"/>
        </w:rPr>
        <w:t xml:space="preserve">. The Company does not believe it is subject to significant credit risk.  </w:t>
      </w:r>
    </w:p>
    <w:p w14:paraId="6532DC5B" w14:textId="77777777" w:rsidR="00411FB1" w:rsidRDefault="00411FB1" w:rsidP="001B49CC">
      <w:pPr>
        <w:pStyle w:val="Default"/>
        <w:jc w:val="both"/>
        <w:rPr>
          <w:rFonts w:ascii="Times New Roman" w:hAnsi="Times New Roman" w:cs="Times New Roman"/>
          <w:iCs/>
          <w:color w:val="auto"/>
          <w:sz w:val="20"/>
          <w:szCs w:val="20"/>
        </w:rPr>
      </w:pPr>
    </w:p>
    <w:p w14:paraId="7E5510C6" w14:textId="50A1774F" w:rsidR="001B49CC" w:rsidRPr="0061227F" w:rsidRDefault="001B49CC" w:rsidP="001B49CC">
      <w:pPr>
        <w:pStyle w:val="Default"/>
        <w:jc w:val="both"/>
        <w:rPr>
          <w:rFonts w:ascii="Times New Roman" w:hAnsi="Times New Roman" w:cs="Times New Roman"/>
          <w:color w:val="auto"/>
          <w:sz w:val="20"/>
          <w:szCs w:val="20"/>
        </w:rPr>
      </w:pPr>
      <w:r w:rsidRPr="00B11923">
        <w:rPr>
          <w:rFonts w:ascii="Times New Roman" w:hAnsi="Times New Roman" w:cs="Times New Roman"/>
          <w:i/>
          <w:color w:val="auto"/>
          <w:sz w:val="20"/>
          <w:szCs w:val="20"/>
        </w:rPr>
        <w:t xml:space="preserve">Liquidity risk </w:t>
      </w:r>
    </w:p>
    <w:p w14:paraId="20716A44" w14:textId="77777777" w:rsidR="001B49CC" w:rsidRPr="007E70BE" w:rsidRDefault="001B49CC" w:rsidP="001B49CC">
      <w:pPr>
        <w:pStyle w:val="Default"/>
        <w:jc w:val="both"/>
        <w:rPr>
          <w:rFonts w:ascii="Times New Roman" w:hAnsi="Times New Roman" w:cs="Times New Roman"/>
          <w:color w:val="auto"/>
          <w:sz w:val="20"/>
          <w:szCs w:val="20"/>
        </w:rPr>
      </w:pPr>
    </w:p>
    <w:p w14:paraId="3A0664FB" w14:textId="187226CF" w:rsidR="001B49CC" w:rsidRPr="007E70BE" w:rsidRDefault="001B49CC" w:rsidP="001B49CC">
      <w:pPr>
        <w:pStyle w:val="Default"/>
        <w:jc w:val="both"/>
        <w:rPr>
          <w:rFonts w:ascii="Times New Roman" w:hAnsi="Times New Roman" w:cs="Times New Roman"/>
          <w:color w:val="auto"/>
          <w:sz w:val="20"/>
          <w:szCs w:val="20"/>
        </w:rPr>
      </w:pPr>
      <w:r w:rsidRPr="007E70BE">
        <w:rPr>
          <w:rFonts w:ascii="Times New Roman" w:hAnsi="Times New Roman" w:cs="Times New Roman"/>
          <w:color w:val="auto"/>
          <w:sz w:val="20"/>
          <w:szCs w:val="20"/>
        </w:rPr>
        <w:t xml:space="preserve">The Company’s approach to managing liquidity risk is to ensure that it will have </w:t>
      </w:r>
      <w:r w:rsidRPr="00163BD4">
        <w:rPr>
          <w:rFonts w:ascii="Times New Roman" w:hAnsi="Times New Roman" w:cs="Times New Roman"/>
          <w:color w:val="auto"/>
          <w:sz w:val="20"/>
          <w:szCs w:val="20"/>
        </w:rPr>
        <w:t xml:space="preserve">sufficient liquidity to meet liabilities when they come due. As at </w:t>
      </w:r>
      <w:r w:rsidR="00C60517">
        <w:rPr>
          <w:rFonts w:ascii="Times New Roman" w:hAnsi="Times New Roman" w:cs="Times New Roman"/>
          <w:color w:val="auto"/>
          <w:sz w:val="20"/>
          <w:szCs w:val="20"/>
        </w:rPr>
        <w:t>February</w:t>
      </w:r>
      <w:r w:rsidR="00341349">
        <w:rPr>
          <w:rFonts w:ascii="Times New Roman" w:hAnsi="Times New Roman" w:cs="Times New Roman"/>
          <w:color w:val="auto"/>
          <w:sz w:val="20"/>
          <w:szCs w:val="20"/>
        </w:rPr>
        <w:t xml:space="preserve"> </w:t>
      </w:r>
      <w:r w:rsidR="00C60517">
        <w:rPr>
          <w:rFonts w:ascii="Times New Roman" w:hAnsi="Times New Roman" w:cs="Times New Roman"/>
          <w:color w:val="auto"/>
          <w:sz w:val="20"/>
          <w:szCs w:val="20"/>
        </w:rPr>
        <w:t>29</w:t>
      </w:r>
      <w:r w:rsidRPr="00163BD4">
        <w:rPr>
          <w:rFonts w:ascii="Times New Roman" w:hAnsi="Times New Roman" w:cs="Times New Roman"/>
          <w:color w:val="auto"/>
          <w:sz w:val="20"/>
          <w:szCs w:val="20"/>
        </w:rPr>
        <w:t>, 20</w:t>
      </w:r>
      <w:r w:rsidR="00886B42" w:rsidRPr="00163BD4">
        <w:rPr>
          <w:rFonts w:ascii="Times New Roman" w:hAnsi="Times New Roman" w:cs="Times New Roman"/>
          <w:color w:val="auto"/>
          <w:sz w:val="20"/>
          <w:szCs w:val="20"/>
        </w:rPr>
        <w:t>2</w:t>
      </w:r>
      <w:r w:rsidR="00C60517">
        <w:rPr>
          <w:rFonts w:ascii="Times New Roman" w:hAnsi="Times New Roman" w:cs="Times New Roman"/>
          <w:color w:val="auto"/>
          <w:sz w:val="20"/>
          <w:szCs w:val="20"/>
        </w:rPr>
        <w:t>4</w:t>
      </w:r>
      <w:r w:rsidRPr="00163BD4">
        <w:rPr>
          <w:rFonts w:ascii="Times New Roman" w:hAnsi="Times New Roman" w:cs="Times New Roman"/>
          <w:color w:val="auto"/>
          <w:sz w:val="20"/>
          <w:szCs w:val="20"/>
        </w:rPr>
        <w:t xml:space="preserve">, the Company had a </w:t>
      </w:r>
      <w:r w:rsidRPr="00D6747D">
        <w:rPr>
          <w:rFonts w:ascii="Times New Roman" w:hAnsi="Times New Roman" w:cs="Times New Roman"/>
          <w:color w:val="auto"/>
          <w:sz w:val="20"/>
          <w:szCs w:val="20"/>
        </w:rPr>
        <w:t xml:space="preserve">cash balance </w:t>
      </w:r>
      <w:r w:rsidRPr="00A6504E">
        <w:rPr>
          <w:rFonts w:ascii="Times New Roman" w:hAnsi="Times New Roman" w:cs="Times New Roman"/>
          <w:color w:val="auto"/>
          <w:sz w:val="20"/>
          <w:szCs w:val="20"/>
        </w:rPr>
        <w:t>of</w:t>
      </w:r>
      <w:r w:rsidR="005323C9" w:rsidRPr="00A6504E">
        <w:rPr>
          <w:rFonts w:ascii="Times New Roman" w:hAnsi="Times New Roman" w:cs="Times New Roman"/>
          <w:color w:val="auto"/>
          <w:sz w:val="20"/>
          <w:szCs w:val="20"/>
        </w:rPr>
        <w:t xml:space="preserve"> $</w:t>
      </w:r>
      <w:r w:rsidR="00C60517">
        <w:rPr>
          <w:rFonts w:ascii="Times New Roman" w:hAnsi="Times New Roman" w:cs="Times New Roman"/>
          <w:color w:val="auto"/>
          <w:sz w:val="20"/>
          <w:szCs w:val="20"/>
        </w:rPr>
        <w:t>47</w:t>
      </w:r>
      <w:r w:rsidR="00301886" w:rsidRPr="00A6504E">
        <w:rPr>
          <w:rFonts w:ascii="Times New Roman" w:hAnsi="Times New Roman" w:cs="Times New Roman"/>
          <w:color w:val="auto"/>
          <w:sz w:val="20"/>
          <w:szCs w:val="20"/>
        </w:rPr>
        <w:t>,</w:t>
      </w:r>
      <w:r w:rsidR="00C60517">
        <w:rPr>
          <w:rFonts w:ascii="Times New Roman" w:hAnsi="Times New Roman" w:cs="Times New Roman"/>
          <w:color w:val="auto"/>
          <w:sz w:val="20"/>
          <w:szCs w:val="20"/>
        </w:rPr>
        <w:t>556</w:t>
      </w:r>
      <w:r w:rsidRPr="00007A4E">
        <w:rPr>
          <w:rFonts w:ascii="Times New Roman" w:hAnsi="Times New Roman" w:cs="Times New Roman"/>
          <w:color w:val="auto"/>
          <w:sz w:val="20"/>
          <w:szCs w:val="20"/>
        </w:rPr>
        <w:t xml:space="preserve"> to settle current liabilities of $</w:t>
      </w:r>
      <w:r w:rsidR="00E14E28">
        <w:rPr>
          <w:rFonts w:ascii="Times New Roman" w:hAnsi="Times New Roman" w:cs="Times New Roman"/>
          <w:color w:val="auto"/>
          <w:sz w:val="20"/>
          <w:szCs w:val="20"/>
        </w:rPr>
        <w:t>5</w:t>
      </w:r>
      <w:r w:rsidR="00C60517">
        <w:rPr>
          <w:rFonts w:ascii="Times New Roman" w:hAnsi="Times New Roman" w:cs="Times New Roman"/>
          <w:color w:val="auto"/>
          <w:sz w:val="20"/>
          <w:szCs w:val="20"/>
        </w:rPr>
        <w:t>66</w:t>
      </w:r>
      <w:r w:rsidR="002666F4">
        <w:rPr>
          <w:rFonts w:ascii="Times New Roman" w:hAnsi="Times New Roman" w:cs="Times New Roman"/>
          <w:color w:val="auto"/>
          <w:sz w:val="20"/>
          <w:szCs w:val="20"/>
        </w:rPr>
        <w:t>,</w:t>
      </w:r>
      <w:r w:rsidR="00C60517">
        <w:rPr>
          <w:rFonts w:ascii="Times New Roman" w:hAnsi="Times New Roman" w:cs="Times New Roman"/>
          <w:color w:val="auto"/>
          <w:sz w:val="20"/>
          <w:szCs w:val="20"/>
        </w:rPr>
        <w:t>758</w:t>
      </w:r>
      <w:r w:rsidRPr="00007A4E">
        <w:rPr>
          <w:rFonts w:ascii="Times New Roman" w:hAnsi="Times New Roman" w:cs="Times New Roman"/>
          <w:color w:val="auto"/>
          <w:sz w:val="20"/>
          <w:szCs w:val="20"/>
        </w:rPr>
        <w:t>.</w:t>
      </w:r>
      <w:r w:rsidR="006C169E">
        <w:rPr>
          <w:rFonts w:ascii="Times New Roman" w:hAnsi="Times New Roman" w:cs="Times New Roman"/>
          <w:color w:val="auto"/>
          <w:sz w:val="20"/>
          <w:szCs w:val="20"/>
        </w:rPr>
        <w:t xml:space="preserve"> </w:t>
      </w:r>
      <w:r w:rsidRPr="00007A4E">
        <w:rPr>
          <w:rFonts w:ascii="Times New Roman" w:hAnsi="Times New Roman" w:cs="Times New Roman"/>
          <w:color w:val="auto"/>
          <w:sz w:val="20"/>
          <w:szCs w:val="20"/>
        </w:rPr>
        <w:t>All</w:t>
      </w:r>
      <w:r w:rsidRPr="002D7D6A">
        <w:rPr>
          <w:rFonts w:ascii="Times New Roman" w:hAnsi="Times New Roman" w:cs="Times New Roman"/>
          <w:color w:val="auto"/>
          <w:sz w:val="20"/>
          <w:szCs w:val="20"/>
        </w:rPr>
        <w:t xml:space="preserve"> of the Company’s financial liabilities are subject</w:t>
      </w:r>
      <w:r w:rsidR="00AF336E" w:rsidRPr="002D7D6A">
        <w:rPr>
          <w:rFonts w:ascii="Times New Roman" w:hAnsi="Times New Roman" w:cs="Times New Roman"/>
          <w:color w:val="auto"/>
          <w:sz w:val="20"/>
          <w:szCs w:val="20"/>
        </w:rPr>
        <w:t xml:space="preserve"> </w:t>
      </w:r>
      <w:r w:rsidRPr="002D7D6A">
        <w:rPr>
          <w:rFonts w:ascii="Times New Roman" w:hAnsi="Times New Roman" w:cs="Times New Roman"/>
          <w:color w:val="auto"/>
          <w:sz w:val="20"/>
          <w:szCs w:val="20"/>
        </w:rPr>
        <w:t>to normal trade terms.</w:t>
      </w:r>
      <w:r w:rsidRPr="007E70BE">
        <w:rPr>
          <w:rFonts w:ascii="Times New Roman" w:hAnsi="Times New Roman" w:cs="Times New Roman"/>
          <w:color w:val="auto"/>
          <w:sz w:val="20"/>
          <w:szCs w:val="20"/>
        </w:rPr>
        <w:t xml:space="preserve"> </w:t>
      </w:r>
    </w:p>
    <w:p w14:paraId="3A394101" w14:textId="77777777" w:rsidR="00910060" w:rsidRDefault="00910060" w:rsidP="001B49CC">
      <w:pPr>
        <w:pStyle w:val="Default"/>
        <w:jc w:val="both"/>
        <w:rPr>
          <w:rFonts w:ascii="Times New Roman" w:hAnsi="Times New Roman" w:cs="Times New Roman"/>
          <w:i/>
          <w:color w:val="auto"/>
          <w:sz w:val="20"/>
          <w:szCs w:val="20"/>
        </w:rPr>
      </w:pPr>
    </w:p>
    <w:p w14:paraId="5C361EBD" w14:textId="1B7534D5" w:rsidR="001B49CC" w:rsidRPr="0061227F" w:rsidRDefault="001B49CC" w:rsidP="001B49CC">
      <w:pPr>
        <w:pStyle w:val="Default"/>
        <w:jc w:val="both"/>
        <w:rPr>
          <w:rFonts w:ascii="Times New Roman" w:hAnsi="Times New Roman" w:cs="Times New Roman"/>
          <w:color w:val="auto"/>
          <w:sz w:val="20"/>
          <w:szCs w:val="20"/>
        </w:rPr>
      </w:pPr>
      <w:r w:rsidRPr="00B11923">
        <w:rPr>
          <w:rFonts w:ascii="Times New Roman" w:hAnsi="Times New Roman" w:cs="Times New Roman"/>
          <w:i/>
          <w:color w:val="auto"/>
          <w:sz w:val="20"/>
          <w:szCs w:val="20"/>
        </w:rPr>
        <w:t xml:space="preserve">Market risk </w:t>
      </w:r>
    </w:p>
    <w:p w14:paraId="23462742" w14:textId="77777777" w:rsidR="001B49CC" w:rsidRPr="007E70BE" w:rsidRDefault="001B49CC" w:rsidP="001B49CC">
      <w:pPr>
        <w:pStyle w:val="Default"/>
        <w:jc w:val="both"/>
        <w:rPr>
          <w:rFonts w:ascii="Times New Roman" w:hAnsi="Times New Roman" w:cs="Times New Roman"/>
          <w:color w:val="auto"/>
          <w:sz w:val="20"/>
          <w:szCs w:val="20"/>
        </w:rPr>
      </w:pPr>
    </w:p>
    <w:p w14:paraId="63322716" w14:textId="4BCBB52B" w:rsidR="009B2365" w:rsidRDefault="001B49CC" w:rsidP="001B49CC">
      <w:pPr>
        <w:pStyle w:val="Default"/>
        <w:jc w:val="both"/>
        <w:rPr>
          <w:rFonts w:ascii="Times New Roman" w:hAnsi="Times New Roman" w:cs="Times New Roman"/>
          <w:color w:val="auto"/>
          <w:sz w:val="20"/>
          <w:szCs w:val="20"/>
        </w:rPr>
      </w:pPr>
      <w:r w:rsidRPr="007E70BE">
        <w:rPr>
          <w:rFonts w:ascii="Times New Roman" w:hAnsi="Times New Roman" w:cs="Times New Roman"/>
          <w:color w:val="auto"/>
          <w:sz w:val="20"/>
          <w:szCs w:val="20"/>
        </w:rPr>
        <w:t xml:space="preserve">Market risk is the risk of loss that may arise from changes in market factors such as interest rates, and commodity and equity prices. These fluctuations may be significant and the Company, as all other companies in its industry, has exposure to these risks. </w:t>
      </w:r>
    </w:p>
    <w:p w14:paraId="481823E3" w14:textId="76FA2D8E" w:rsidR="00FE5DC7" w:rsidRDefault="00FE5DC7" w:rsidP="001B49CC">
      <w:pPr>
        <w:pStyle w:val="Default"/>
        <w:jc w:val="both"/>
        <w:rPr>
          <w:rFonts w:ascii="Times New Roman" w:hAnsi="Times New Roman" w:cs="Times New Roman"/>
          <w:color w:val="auto"/>
          <w:sz w:val="20"/>
          <w:szCs w:val="20"/>
        </w:rPr>
      </w:pPr>
    </w:p>
    <w:p w14:paraId="5A03F269" w14:textId="77777777" w:rsidR="001B49CC" w:rsidRPr="007E70BE" w:rsidRDefault="001B49CC" w:rsidP="001B49CC">
      <w:pPr>
        <w:pStyle w:val="Default"/>
        <w:jc w:val="both"/>
        <w:rPr>
          <w:rFonts w:ascii="Times New Roman" w:hAnsi="Times New Roman" w:cs="Times New Roman"/>
          <w:color w:val="auto"/>
          <w:sz w:val="20"/>
          <w:szCs w:val="20"/>
        </w:rPr>
      </w:pPr>
      <w:r w:rsidRPr="007E70BE">
        <w:rPr>
          <w:rFonts w:ascii="Times New Roman" w:hAnsi="Times New Roman" w:cs="Times New Roman"/>
          <w:color w:val="auto"/>
          <w:sz w:val="20"/>
          <w:szCs w:val="20"/>
        </w:rPr>
        <w:t xml:space="preserve">(a) Interest rate risk </w:t>
      </w:r>
    </w:p>
    <w:p w14:paraId="64777A96" w14:textId="77777777" w:rsidR="003C2B88" w:rsidRDefault="003C2B88" w:rsidP="00B11923">
      <w:pPr>
        <w:pStyle w:val="Default"/>
        <w:ind w:left="270"/>
        <w:jc w:val="both"/>
        <w:rPr>
          <w:rFonts w:ascii="Times New Roman" w:hAnsi="Times New Roman" w:cs="Times New Roman"/>
          <w:color w:val="auto"/>
          <w:sz w:val="20"/>
          <w:szCs w:val="20"/>
          <w:lang w:val="en-CA"/>
        </w:rPr>
      </w:pPr>
    </w:p>
    <w:p w14:paraId="56A6C187" w14:textId="55D493A5" w:rsidR="001B49CC" w:rsidRPr="007E70BE" w:rsidRDefault="001B49CC" w:rsidP="00B11923">
      <w:pPr>
        <w:pStyle w:val="Default"/>
        <w:ind w:left="270"/>
        <w:jc w:val="both"/>
        <w:rPr>
          <w:rFonts w:ascii="Times New Roman" w:hAnsi="Times New Roman" w:cs="Times New Roman"/>
          <w:color w:val="auto"/>
          <w:sz w:val="20"/>
          <w:szCs w:val="20"/>
          <w:lang w:val="en-CA"/>
        </w:rPr>
      </w:pPr>
      <w:r w:rsidRPr="007E70BE">
        <w:rPr>
          <w:rFonts w:ascii="Times New Roman" w:hAnsi="Times New Roman" w:cs="Times New Roman"/>
          <w:color w:val="auto"/>
          <w:sz w:val="20"/>
          <w:szCs w:val="20"/>
          <w:lang w:val="en-CA"/>
        </w:rPr>
        <w:t xml:space="preserve">The Company has cash </w:t>
      </w:r>
      <w:proofErr w:type="gramStart"/>
      <w:r w:rsidRPr="007E70BE">
        <w:rPr>
          <w:rFonts w:ascii="Times New Roman" w:hAnsi="Times New Roman" w:cs="Times New Roman"/>
          <w:color w:val="auto"/>
          <w:sz w:val="20"/>
          <w:szCs w:val="20"/>
          <w:lang w:val="en-CA"/>
        </w:rPr>
        <w:t>balances</w:t>
      </w:r>
      <w:proofErr w:type="gramEnd"/>
      <w:r w:rsidRPr="007E70BE">
        <w:rPr>
          <w:rFonts w:ascii="Times New Roman" w:hAnsi="Times New Roman" w:cs="Times New Roman"/>
          <w:color w:val="auto"/>
          <w:sz w:val="20"/>
          <w:szCs w:val="20"/>
          <w:lang w:val="en-CA"/>
        </w:rPr>
        <w:t xml:space="preserve"> and </w:t>
      </w:r>
      <w:r w:rsidR="00454CF9">
        <w:rPr>
          <w:rFonts w:ascii="Times New Roman" w:hAnsi="Times New Roman" w:cs="Times New Roman"/>
          <w:color w:val="auto"/>
          <w:sz w:val="20"/>
          <w:szCs w:val="20"/>
          <w:lang w:val="en-CA"/>
        </w:rPr>
        <w:t>its</w:t>
      </w:r>
      <w:r w:rsidRPr="007E70BE">
        <w:rPr>
          <w:rFonts w:ascii="Times New Roman" w:hAnsi="Times New Roman" w:cs="Times New Roman"/>
          <w:color w:val="auto"/>
          <w:sz w:val="20"/>
          <w:szCs w:val="20"/>
          <w:lang w:val="en-CA"/>
        </w:rPr>
        <w:t xml:space="preserve"> interest-bearing debt</w:t>
      </w:r>
      <w:r w:rsidR="00454CF9">
        <w:rPr>
          <w:rFonts w:ascii="Times New Roman" w:hAnsi="Times New Roman" w:cs="Times New Roman"/>
          <w:color w:val="auto"/>
          <w:sz w:val="20"/>
          <w:szCs w:val="20"/>
          <w:lang w:val="en-CA"/>
        </w:rPr>
        <w:t xml:space="preserve"> are at a fixed rate with a related party</w:t>
      </w:r>
      <w:r w:rsidRPr="007E70BE">
        <w:rPr>
          <w:rFonts w:ascii="Times New Roman" w:hAnsi="Times New Roman" w:cs="Times New Roman"/>
          <w:color w:val="auto"/>
          <w:sz w:val="20"/>
          <w:szCs w:val="20"/>
          <w:lang w:val="en-CA"/>
        </w:rPr>
        <w:t>. The Company’s current policy is to maintain cash in its banking institutions and does not believe interest rate risk to be significant.</w:t>
      </w:r>
    </w:p>
    <w:p w14:paraId="3B7CEFA6" w14:textId="77777777" w:rsidR="005F66EC" w:rsidRDefault="005F66EC" w:rsidP="001B49CC">
      <w:pPr>
        <w:pStyle w:val="Default"/>
        <w:jc w:val="both"/>
        <w:rPr>
          <w:rFonts w:ascii="Times New Roman" w:hAnsi="Times New Roman" w:cs="Times New Roman"/>
          <w:color w:val="auto"/>
          <w:sz w:val="20"/>
          <w:szCs w:val="20"/>
        </w:rPr>
      </w:pPr>
    </w:p>
    <w:p w14:paraId="07BD0CED" w14:textId="77777777" w:rsidR="001B49CC" w:rsidRPr="007E70BE" w:rsidRDefault="001B49CC" w:rsidP="001B49CC">
      <w:pPr>
        <w:pStyle w:val="Default"/>
        <w:jc w:val="both"/>
        <w:rPr>
          <w:rFonts w:ascii="Times New Roman" w:hAnsi="Times New Roman" w:cs="Times New Roman"/>
          <w:color w:val="auto"/>
          <w:sz w:val="20"/>
          <w:szCs w:val="20"/>
        </w:rPr>
      </w:pPr>
      <w:r w:rsidRPr="007E70BE">
        <w:rPr>
          <w:rFonts w:ascii="Times New Roman" w:hAnsi="Times New Roman" w:cs="Times New Roman"/>
          <w:color w:val="auto"/>
          <w:sz w:val="20"/>
          <w:szCs w:val="20"/>
        </w:rPr>
        <w:t xml:space="preserve">(b) Price risk </w:t>
      </w:r>
    </w:p>
    <w:p w14:paraId="7AA59CDC" w14:textId="77777777" w:rsidR="001B49CC" w:rsidRPr="007E70BE" w:rsidRDefault="001B49CC" w:rsidP="00B11923">
      <w:pPr>
        <w:pStyle w:val="Default"/>
        <w:ind w:left="270"/>
        <w:jc w:val="both"/>
        <w:rPr>
          <w:sz w:val="20"/>
          <w:szCs w:val="20"/>
        </w:rPr>
      </w:pPr>
    </w:p>
    <w:p w14:paraId="3E7FB00A" w14:textId="51E7AE86" w:rsidR="001B49CC" w:rsidRPr="007E70BE" w:rsidRDefault="001B49CC" w:rsidP="00B11923">
      <w:pPr>
        <w:tabs>
          <w:tab w:val="center" w:pos="5040"/>
          <w:tab w:val="decimal" w:pos="5760"/>
          <w:tab w:val="left" w:pos="5940"/>
          <w:tab w:val="decimal" w:pos="6750"/>
          <w:tab w:val="left" w:pos="6930"/>
          <w:tab w:val="decimal" w:pos="7740"/>
          <w:tab w:val="left" w:pos="7920"/>
          <w:tab w:val="decimal" w:pos="8730"/>
          <w:tab w:val="left" w:pos="8910"/>
          <w:tab w:val="decimal" w:pos="9720"/>
        </w:tabs>
        <w:ind w:left="270"/>
        <w:jc w:val="both"/>
      </w:pPr>
      <w:r w:rsidRPr="007E70BE">
        <w:t xml:space="preserve">The Company is not a producing entity so is not directly exposed to fluctuations in commodity prices.  The Company is exposed to price risk with respect to equity prices. Equity price risk is defined as the potential adverse impact on the Company’s earnings due to movements in individual equity prices or general movements in the level of the stock market. The Company closely monitors individual equity </w:t>
      </w:r>
      <w:r w:rsidR="000B1B99" w:rsidRPr="007E70BE">
        <w:t>movements</w:t>
      </w:r>
      <w:r w:rsidRPr="007E70BE">
        <w:t xml:space="preserve"> and the stock market to determine the appropriate course of action to be taken by the Company. </w:t>
      </w:r>
    </w:p>
    <w:p w14:paraId="0091643E" w14:textId="77777777" w:rsidR="007C3DBA" w:rsidRDefault="007C3DBA" w:rsidP="001B49CC">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jc w:val="both"/>
      </w:pPr>
    </w:p>
    <w:p w14:paraId="35D98E5B" w14:textId="77777777" w:rsidR="001B49CC" w:rsidRPr="007E70BE" w:rsidRDefault="001B49CC" w:rsidP="001B49CC">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jc w:val="both"/>
      </w:pPr>
      <w:r w:rsidRPr="007E70BE">
        <w:t>(c) Foreign currency risk</w:t>
      </w:r>
    </w:p>
    <w:p w14:paraId="7637143E" w14:textId="77777777" w:rsidR="001B49CC" w:rsidRPr="007E70BE" w:rsidRDefault="001B49CC" w:rsidP="001B49CC">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jc w:val="both"/>
      </w:pPr>
    </w:p>
    <w:p w14:paraId="3A1090E6" w14:textId="77777777" w:rsidR="001B49CC" w:rsidRPr="007E70BE" w:rsidRDefault="001B49CC" w:rsidP="00B11923">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ind w:left="270"/>
        <w:jc w:val="both"/>
      </w:pPr>
      <w:r w:rsidRPr="007E70BE">
        <w:t>The Company has two foreign subsidiaries whose operations are in the United States and Switzerland respectively, which exposes the Company to foreign exchange risk.  The Company is subject to currency risk due to the fluctuations of exchange rates between the Canadian dollar</w:t>
      </w:r>
      <w:r w:rsidR="00B11923">
        <w:t>, United States dollar</w:t>
      </w:r>
      <w:r w:rsidRPr="007E70BE">
        <w:t xml:space="preserve"> and </w:t>
      </w:r>
      <w:r w:rsidR="00B11923">
        <w:t xml:space="preserve">the </w:t>
      </w:r>
      <w:r w:rsidRPr="007E70BE">
        <w:t>Swiss Franc.  The Company does not enter into derivative financial instruments to mitigate foreign exchange risk.</w:t>
      </w:r>
    </w:p>
    <w:p w14:paraId="2893A37E" w14:textId="77777777" w:rsidR="00B84074" w:rsidRDefault="00B84074" w:rsidP="002639F9">
      <w:pPr>
        <w:pStyle w:val="BodyText3"/>
        <w:rPr>
          <w:b/>
          <w:sz w:val="24"/>
          <w:szCs w:val="24"/>
        </w:rPr>
      </w:pPr>
    </w:p>
    <w:p w14:paraId="42F3EDBE" w14:textId="77777777" w:rsidR="00D85237" w:rsidRPr="002639F9" w:rsidRDefault="00D85237" w:rsidP="002639F9">
      <w:pPr>
        <w:pStyle w:val="BodyText3"/>
        <w:rPr>
          <w:b/>
          <w:sz w:val="24"/>
          <w:szCs w:val="24"/>
        </w:rPr>
      </w:pPr>
      <w:r w:rsidRPr="002639F9">
        <w:rPr>
          <w:b/>
          <w:sz w:val="24"/>
          <w:szCs w:val="24"/>
        </w:rPr>
        <w:t xml:space="preserve">Capital </w:t>
      </w:r>
      <w:r w:rsidR="00122C25">
        <w:rPr>
          <w:b/>
          <w:sz w:val="24"/>
          <w:szCs w:val="24"/>
        </w:rPr>
        <w:t>Management</w:t>
      </w:r>
    </w:p>
    <w:p w14:paraId="22F46B1E" w14:textId="77777777" w:rsidR="00F849A0" w:rsidRDefault="00F849A0">
      <w:pPr>
        <w:jc w:val="both"/>
      </w:pPr>
    </w:p>
    <w:p w14:paraId="15BE1041" w14:textId="77777777" w:rsidR="001B49CC" w:rsidRDefault="001B49CC" w:rsidP="001B49CC">
      <w:pPr>
        <w:jc w:val="both"/>
      </w:pPr>
      <w:r>
        <w:t xml:space="preserve">The Company manages its capital structure and </w:t>
      </w:r>
      <w:proofErr w:type="gramStart"/>
      <w:r>
        <w:t>makes adjustments to</w:t>
      </w:r>
      <w:proofErr w:type="gramEnd"/>
      <w:r>
        <w:t xml:space="preserve"> it, based on the funds available to the Company, in order to support the acquisition and exploration of mineral properties. The Board of Directors does not establish quantitative return on capital criteria for management, but rather relies on the expertise of the Company’s management to sustain future development of the business.  The Company defines capital t</w:t>
      </w:r>
      <w:r w:rsidR="00B11923">
        <w:t>hat it manages as share capital</w:t>
      </w:r>
      <w:r w:rsidR="004263D9">
        <w:t>.</w:t>
      </w:r>
    </w:p>
    <w:p w14:paraId="3782437D" w14:textId="77777777" w:rsidR="00E17882" w:rsidRDefault="00E17882" w:rsidP="001B49CC">
      <w:pPr>
        <w:jc w:val="both"/>
      </w:pPr>
    </w:p>
    <w:p w14:paraId="1B63DCE4" w14:textId="77777777" w:rsidR="001B49CC" w:rsidRDefault="001B49CC" w:rsidP="001B49CC">
      <w:pPr>
        <w:jc w:val="both"/>
      </w:pPr>
      <w:r>
        <w:t>The Company is in the exploration stage; as such the Company has historically relied on the equity markets to fund its activities. The Company will continue to assess new sources of financing available and to manage its expenditures to reflect current financial resources in the interest of sustaining long term viability.</w:t>
      </w:r>
    </w:p>
    <w:p w14:paraId="611DDF6F" w14:textId="77777777" w:rsidR="0061227F" w:rsidRDefault="0061227F" w:rsidP="001B49CC">
      <w:pPr>
        <w:jc w:val="both"/>
      </w:pPr>
    </w:p>
    <w:p w14:paraId="52117F89" w14:textId="77777777" w:rsidR="001B49CC" w:rsidRDefault="001B49CC" w:rsidP="001B49CC">
      <w:pPr>
        <w:jc w:val="both"/>
      </w:pPr>
      <w:r>
        <w:t>Management reviews its capital management approach on an ongoing basis and believes that this approach, given the relative size of the Company, is reasonable.</w:t>
      </w:r>
    </w:p>
    <w:p w14:paraId="04569F49" w14:textId="77777777" w:rsidR="001B49CC" w:rsidRPr="00C9132B" w:rsidRDefault="001B49CC" w:rsidP="001B49CC">
      <w:pPr>
        <w:ind w:left="720"/>
        <w:rPr>
          <w:lang w:eastAsia="ko-KR"/>
        </w:rPr>
      </w:pPr>
    </w:p>
    <w:p w14:paraId="0A29784F" w14:textId="77777777" w:rsidR="001B49CC" w:rsidRPr="00C9132B" w:rsidRDefault="001B49CC" w:rsidP="001B49CC">
      <w:pPr>
        <w:jc w:val="both"/>
        <w:rPr>
          <w:lang w:val="en-GB"/>
        </w:rPr>
      </w:pPr>
      <w:r w:rsidRPr="00C9132B">
        <w:rPr>
          <w:lang w:val="en-GB"/>
        </w:rPr>
        <w:t>The Company’s capital management objectives, policies and processes have not been changed over the period presented. The Company is not subject to any externally imposed capital requirements.</w:t>
      </w:r>
    </w:p>
    <w:p w14:paraId="362B3AD5" w14:textId="6F834CEF" w:rsidR="00AA5596" w:rsidRPr="0064225B" w:rsidRDefault="00AA5596" w:rsidP="00AA5596">
      <w:pPr>
        <w:tabs>
          <w:tab w:val="left" w:pos="990"/>
          <w:tab w:val="left" w:pos="1260"/>
          <w:tab w:val="right" w:pos="10080"/>
        </w:tabs>
        <w:jc w:val="both"/>
        <w:rPr>
          <w:b/>
          <w:sz w:val="24"/>
          <w:szCs w:val="24"/>
          <w:lang w:val="en-GB"/>
        </w:rPr>
      </w:pPr>
      <w:r w:rsidRPr="0064225B">
        <w:rPr>
          <w:b/>
          <w:sz w:val="24"/>
          <w:szCs w:val="24"/>
          <w:lang w:val="en-GB"/>
        </w:rPr>
        <w:lastRenderedPageBreak/>
        <w:t>Off</w:t>
      </w:r>
      <w:r>
        <w:rPr>
          <w:b/>
          <w:sz w:val="24"/>
          <w:szCs w:val="24"/>
          <w:lang w:val="en-GB"/>
        </w:rPr>
        <w:t>-Balance Sheet Arrangements</w:t>
      </w:r>
    </w:p>
    <w:p w14:paraId="337CD56C" w14:textId="77777777" w:rsidR="00AA5596" w:rsidRDefault="00AA5596" w:rsidP="00AA5596">
      <w:pPr>
        <w:tabs>
          <w:tab w:val="left" w:pos="990"/>
          <w:tab w:val="left" w:pos="1260"/>
          <w:tab w:val="right" w:pos="10080"/>
        </w:tabs>
        <w:jc w:val="both"/>
        <w:rPr>
          <w:lang w:val="en-GB"/>
        </w:rPr>
      </w:pPr>
    </w:p>
    <w:p w14:paraId="5714541E" w14:textId="68D915B8" w:rsidR="00AA5596" w:rsidRDefault="00AA5596" w:rsidP="00AA5596">
      <w:pPr>
        <w:tabs>
          <w:tab w:val="left" w:pos="990"/>
          <w:tab w:val="left" w:pos="1260"/>
          <w:tab w:val="right" w:pos="10080"/>
        </w:tabs>
        <w:jc w:val="both"/>
        <w:rPr>
          <w:lang w:val="en-GB"/>
        </w:rPr>
      </w:pPr>
      <w:r>
        <w:rPr>
          <w:lang w:val="en-GB"/>
        </w:rPr>
        <w:t xml:space="preserve">The Company does not </w:t>
      </w:r>
      <w:r w:rsidRPr="003413C4">
        <w:rPr>
          <w:lang w:val="en-GB"/>
        </w:rPr>
        <w:t xml:space="preserve">have any off-balance sheet arrangements as </w:t>
      </w:r>
      <w:proofErr w:type="gramStart"/>
      <w:r w:rsidRPr="003413C4">
        <w:rPr>
          <w:lang w:val="en-GB"/>
        </w:rPr>
        <w:t>at</w:t>
      </w:r>
      <w:proofErr w:type="gramEnd"/>
      <w:r w:rsidRPr="003413C4">
        <w:rPr>
          <w:lang w:val="en-GB"/>
        </w:rPr>
        <w:t xml:space="preserve"> </w:t>
      </w:r>
      <w:r w:rsidR="00C60517">
        <w:rPr>
          <w:lang w:val="en-GB"/>
        </w:rPr>
        <w:t>February</w:t>
      </w:r>
      <w:r w:rsidR="00B828CD">
        <w:rPr>
          <w:lang w:val="en-GB"/>
        </w:rPr>
        <w:t xml:space="preserve"> </w:t>
      </w:r>
      <w:r w:rsidR="00C60517">
        <w:rPr>
          <w:lang w:val="en-GB"/>
        </w:rPr>
        <w:t>29</w:t>
      </w:r>
      <w:r w:rsidR="00B828CD">
        <w:rPr>
          <w:lang w:val="en-GB"/>
        </w:rPr>
        <w:t>, 202</w:t>
      </w:r>
      <w:r w:rsidR="00C60517">
        <w:rPr>
          <w:lang w:val="en-GB"/>
        </w:rPr>
        <w:t>4</w:t>
      </w:r>
      <w:r>
        <w:rPr>
          <w:lang w:val="en-GB"/>
        </w:rPr>
        <w:t>.</w:t>
      </w:r>
    </w:p>
    <w:p w14:paraId="41EBF278" w14:textId="3920FD1B" w:rsidR="001664DF" w:rsidRDefault="001664DF" w:rsidP="00362BF1">
      <w:pPr>
        <w:jc w:val="both"/>
        <w:rPr>
          <w:b/>
          <w:sz w:val="24"/>
          <w:szCs w:val="24"/>
        </w:rPr>
      </w:pPr>
    </w:p>
    <w:p w14:paraId="13C1AAD5" w14:textId="541583E9" w:rsidR="00362BF1" w:rsidRPr="00362BF1" w:rsidRDefault="00362BF1" w:rsidP="00362BF1">
      <w:pPr>
        <w:jc w:val="both"/>
        <w:rPr>
          <w:b/>
          <w:sz w:val="24"/>
          <w:szCs w:val="24"/>
          <w:lang w:val="en-GB"/>
        </w:rPr>
      </w:pPr>
      <w:r w:rsidRPr="0061227F">
        <w:rPr>
          <w:b/>
          <w:sz w:val="24"/>
          <w:szCs w:val="24"/>
        </w:rPr>
        <w:t>Additional Disclosure for Venture Issuers without Significant Revenue</w:t>
      </w:r>
    </w:p>
    <w:p w14:paraId="4E70E186" w14:textId="77777777" w:rsidR="00C8220E" w:rsidRDefault="00C8220E" w:rsidP="00DD0B76">
      <w:pPr>
        <w:pStyle w:val="BodyText"/>
        <w:jc w:val="both"/>
        <w:rPr>
          <w:sz w:val="20"/>
        </w:rPr>
      </w:pPr>
    </w:p>
    <w:p w14:paraId="6C760E17" w14:textId="27140607" w:rsidR="008B01F6" w:rsidRPr="00362BF1" w:rsidRDefault="008B01F6" w:rsidP="00DD0B76">
      <w:pPr>
        <w:pStyle w:val="BodyText"/>
        <w:jc w:val="both"/>
        <w:rPr>
          <w:sz w:val="20"/>
        </w:rPr>
      </w:pPr>
      <w:r w:rsidRPr="00362BF1">
        <w:rPr>
          <w:sz w:val="20"/>
        </w:rPr>
        <w:t xml:space="preserve">Please </w:t>
      </w:r>
      <w:r w:rsidRPr="0051233F">
        <w:rPr>
          <w:sz w:val="20"/>
        </w:rPr>
        <w:t xml:space="preserve">refer </w:t>
      </w:r>
      <w:r w:rsidRPr="005166BF">
        <w:rPr>
          <w:sz w:val="20"/>
        </w:rPr>
        <w:t xml:space="preserve">to Note </w:t>
      </w:r>
      <w:r w:rsidR="004263D9" w:rsidRPr="005166BF">
        <w:rPr>
          <w:sz w:val="20"/>
        </w:rPr>
        <w:t>6</w:t>
      </w:r>
      <w:r w:rsidRPr="005166BF">
        <w:rPr>
          <w:sz w:val="20"/>
        </w:rPr>
        <w:t xml:space="preserve"> in the </w:t>
      </w:r>
      <w:r w:rsidR="006831DD">
        <w:rPr>
          <w:sz w:val="20"/>
        </w:rPr>
        <w:t xml:space="preserve">condensed </w:t>
      </w:r>
      <w:r w:rsidR="00A01F83">
        <w:rPr>
          <w:sz w:val="20"/>
        </w:rPr>
        <w:t>c</w:t>
      </w:r>
      <w:r w:rsidRPr="00362BF1">
        <w:rPr>
          <w:sz w:val="20"/>
        </w:rPr>
        <w:t>onsolidated</w:t>
      </w:r>
      <w:r w:rsidR="009B25EB">
        <w:rPr>
          <w:sz w:val="20"/>
        </w:rPr>
        <w:t xml:space="preserve"> </w:t>
      </w:r>
      <w:r w:rsidR="006831DD">
        <w:rPr>
          <w:sz w:val="20"/>
        </w:rPr>
        <w:t xml:space="preserve">interim </w:t>
      </w:r>
      <w:r w:rsidR="00D15B2D">
        <w:rPr>
          <w:sz w:val="20"/>
        </w:rPr>
        <w:t>f</w:t>
      </w:r>
      <w:r w:rsidRPr="00362BF1">
        <w:rPr>
          <w:sz w:val="20"/>
        </w:rPr>
        <w:t xml:space="preserve">inancial statements for </w:t>
      </w:r>
      <w:r w:rsidR="002D7834">
        <w:rPr>
          <w:sz w:val="20"/>
        </w:rPr>
        <w:t xml:space="preserve">the </w:t>
      </w:r>
      <w:r w:rsidR="00C60517">
        <w:rPr>
          <w:sz w:val="20"/>
        </w:rPr>
        <w:t>six</w:t>
      </w:r>
      <w:r w:rsidR="006831DD">
        <w:rPr>
          <w:sz w:val="20"/>
        </w:rPr>
        <w:t xml:space="preserve"> month period </w:t>
      </w:r>
      <w:r w:rsidR="00622373">
        <w:rPr>
          <w:sz w:val="20"/>
        </w:rPr>
        <w:t xml:space="preserve">ended </w:t>
      </w:r>
      <w:r w:rsidR="00C60517">
        <w:rPr>
          <w:sz w:val="20"/>
        </w:rPr>
        <w:t>February</w:t>
      </w:r>
      <w:r w:rsidR="00B828CD">
        <w:rPr>
          <w:sz w:val="20"/>
        </w:rPr>
        <w:t xml:space="preserve"> </w:t>
      </w:r>
      <w:r w:rsidR="00C60517">
        <w:rPr>
          <w:sz w:val="20"/>
        </w:rPr>
        <w:t>29</w:t>
      </w:r>
      <w:r w:rsidR="00B828CD">
        <w:rPr>
          <w:sz w:val="20"/>
        </w:rPr>
        <w:t>, 202</w:t>
      </w:r>
      <w:r w:rsidR="00C60517">
        <w:rPr>
          <w:sz w:val="20"/>
        </w:rPr>
        <w:t>4</w:t>
      </w:r>
      <w:r w:rsidRPr="00362BF1">
        <w:rPr>
          <w:sz w:val="20"/>
        </w:rPr>
        <w:t xml:space="preserve"> for description of the capitalized exploration and </w:t>
      </w:r>
      <w:r w:rsidR="00B11923">
        <w:rPr>
          <w:sz w:val="20"/>
        </w:rPr>
        <w:t>evaluation assets</w:t>
      </w:r>
      <w:r w:rsidRPr="00362BF1">
        <w:rPr>
          <w:sz w:val="20"/>
        </w:rPr>
        <w:t xml:space="preserve"> presented on a property-by-property basis.</w:t>
      </w:r>
    </w:p>
    <w:p w14:paraId="495B8343" w14:textId="77777777" w:rsidR="005A7BED" w:rsidRDefault="005A7BED" w:rsidP="003F46BE">
      <w:pPr>
        <w:tabs>
          <w:tab w:val="left" w:pos="90"/>
          <w:tab w:val="left" w:pos="990"/>
          <w:tab w:val="left" w:pos="1260"/>
          <w:tab w:val="left" w:pos="1440"/>
          <w:tab w:val="left" w:pos="1800"/>
          <w:tab w:val="left" w:pos="5400"/>
          <w:tab w:val="decimal" w:pos="6480"/>
        </w:tabs>
        <w:autoSpaceDE w:val="0"/>
        <w:autoSpaceDN w:val="0"/>
        <w:adjustRightInd w:val="0"/>
        <w:jc w:val="both"/>
        <w:rPr>
          <w:b/>
          <w:sz w:val="24"/>
          <w:szCs w:val="24"/>
          <w:lang w:val="en-GB"/>
        </w:rPr>
      </w:pPr>
    </w:p>
    <w:p w14:paraId="241FE6EC" w14:textId="0263CA7B" w:rsidR="002C4EA3" w:rsidRDefault="002C4EA3" w:rsidP="003F46BE">
      <w:pPr>
        <w:tabs>
          <w:tab w:val="left" w:pos="90"/>
          <w:tab w:val="left" w:pos="990"/>
          <w:tab w:val="left" w:pos="1260"/>
          <w:tab w:val="left" w:pos="1440"/>
          <w:tab w:val="left" w:pos="1800"/>
          <w:tab w:val="left" w:pos="5400"/>
          <w:tab w:val="decimal" w:pos="6480"/>
        </w:tabs>
        <w:autoSpaceDE w:val="0"/>
        <w:autoSpaceDN w:val="0"/>
        <w:adjustRightInd w:val="0"/>
        <w:jc w:val="both"/>
        <w:rPr>
          <w:b/>
          <w:sz w:val="24"/>
          <w:szCs w:val="24"/>
          <w:lang w:val="en-GB"/>
        </w:rPr>
      </w:pPr>
      <w:r w:rsidRPr="00473120">
        <w:rPr>
          <w:b/>
          <w:sz w:val="24"/>
          <w:szCs w:val="24"/>
          <w:lang w:val="en-GB"/>
        </w:rPr>
        <w:t>Outstanding Share Data</w:t>
      </w:r>
      <w:r w:rsidRPr="002C4EA3">
        <w:rPr>
          <w:b/>
          <w:sz w:val="24"/>
          <w:szCs w:val="24"/>
          <w:lang w:val="en-GB"/>
        </w:rPr>
        <w:t xml:space="preserve"> </w:t>
      </w:r>
      <w:r>
        <w:rPr>
          <w:b/>
          <w:sz w:val="24"/>
          <w:szCs w:val="24"/>
          <w:lang w:val="en-GB"/>
        </w:rPr>
        <w:t xml:space="preserve">  </w:t>
      </w:r>
    </w:p>
    <w:p w14:paraId="76EAB35D" w14:textId="77777777" w:rsidR="002C4EA3" w:rsidRPr="00414C52" w:rsidRDefault="002C4EA3" w:rsidP="003F46BE">
      <w:pPr>
        <w:tabs>
          <w:tab w:val="left" w:pos="90"/>
          <w:tab w:val="left" w:pos="990"/>
          <w:tab w:val="left" w:pos="1260"/>
          <w:tab w:val="left" w:pos="1440"/>
          <w:tab w:val="left" w:pos="1800"/>
          <w:tab w:val="left" w:pos="5400"/>
          <w:tab w:val="decimal" w:pos="6480"/>
        </w:tabs>
        <w:autoSpaceDE w:val="0"/>
        <w:autoSpaceDN w:val="0"/>
        <w:adjustRightInd w:val="0"/>
        <w:jc w:val="both"/>
        <w:rPr>
          <w:b/>
          <w:lang w:val="en-GB"/>
        </w:rPr>
      </w:pPr>
    </w:p>
    <w:p w14:paraId="24EFE981" w14:textId="77777777" w:rsidR="003F7203" w:rsidRPr="008A5932" w:rsidRDefault="003F7203" w:rsidP="003F7203">
      <w:pPr>
        <w:tabs>
          <w:tab w:val="left" w:pos="720"/>
          <w:tab w:val="left" w:pos="990"/>
          <w:tab w:val="left" w:pos="1260"/>
          <w:tab w:val="right" w:pos="10080"/>
        </w:tabs>
        <w:jc w:val="both"/>
      </w:pPr>
      <w:r w:rsidRPr="001A1569">
        <w:t xml:space="preserve">The following table summarizes the Company’s outstanding share data as of </w:t>
      </w:r>
      <w:r>
        <w:t xml:space="preserve">the date of </w:t>
      </w:r>
      <w:r w:rsidRPr="001A1569">
        <w:t>this M</w:t>
      </w:r>
      <w:r>
        <w:t>anagement Discussion and Analysis</w:t>
      </w:r>
      <w:r w:rsidRPr="001A1569">
        <w:t>:</w:t>
      </w:r>
      <w:r w:rsidRPr="008A5932">
        <w:tab/>
      </w:r>
    </w:p>
    <w:tbl>
      <w:tblPr>
        <w:tblW w:w="1004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5"/>
        <w:gridCol w:w="748"/>
        <w:gridCol w:w="2533"/>
      </w:tblGrid>
      <w:tr w:rsidR="003F7203" w:rsidRPr="001A1569" w14:paraId="6B2FDE0E" w14:textId="77777777" w:rsidTr="00780EC5">
        <w:trPr>
          <w:cantSplit/>
          <w:jc w:val="right"/>
        </w:trPr>
        <w:tc>
          <w:tcPr>
            <w:tcW w:w="6765" w:type="dxa"/>
            <w:tcBorders>
              <w:top w:val="double" w:sz="6" w:space="0" w:color="auto"/>
              <w:left w:val="nil"/>
              <w:right w:val="nil"/>
            </w:tcBorders>
          </w:tcPr>
          <w:p w14:paraId="22DDB0F0" w14:textId="77777777" w:rsidR="003F7203" w:rsidRPr="001A1569" w:rsidRDefault="003F7203" w:rsidP="002510E3">
            <w:pPr>
              <w:tabs>
                <w:tab w:val="left" w:pos="-1818"/>
                <w:tab w:val="left" w:pos="-1080"/>
                <w:tab w:val="left" w:pos="-729"/>
                <w:tab w:val="left" w:pos="252"/>
                <w:tab w:val="left" w:pos="522"/>
                <w:tab w:val="left" w:pos="7314"/>
                <w:tab w:val="decimal" w:pos="8382"/>
                <w:tab w:val="left" w:pos="8726"/>
                <w:tab w:val="decimal" w:pos="9734"/>
              </w:tabs>
              <w:jc w:val="both"/>
              <w:rPr>
                <w:b/>
              </w:rPr>
            </w:pPr>
          </w:p>
          <w:p w14:paraId="2DD9AE12" w14:textId="77777777" w:rsidR="003F7203" w:rsidRPr="001A1569" w:rsidRDefault="003F7203" w:rsidP="002510E3">
            <w:pPr>
              <w:tabs>
                <w:tab w:val="left" w:pos="-1818"/>
                <w:tab w:val="left" w:pos="-1080"/>
                <w:tab w:val="left" w:pos="-729"/>
                <w:tab w:val="left" w:pos="252"/>
                <w:tab w:val="left" w:pos="522"/>
                <w:tab w:val="left" w:pos="7314"/>
                <w:tab w:val="decimal" w:pos="8382"/>
                <w:tab w:val="left" w:pos="8726"/>
                <w:tab w:val="decimal" w:pos="9734"/>
              </w:tabs>
              <w:jc w:val="both"/>
              <w:rPr>
                <w:lang w:val="en-GB"/>
              </w:rPr>
            </w:pPr>
          </w:p>
        </w:tc>
        <w:tc>
          <w:tcPr>
            <w:tcW w:w="748" w:type="dxa"/>
            <w:tcBorders>
              <w:top w:val="double" w:sz="6" w:space="0" w:color="auto"/>
              <w:left w:val="nil"/>
              <w:right w:val="nil"/>
            </w:tcBorders>
          </w:tcPr>
          <w:p w14:paraId="12F7BBF0" w14:textId="77777777" w:rsidR="003F7203" w:rsidRPr="001A1569" w:rsidRDefault="003F7203" w:rsidP="002510E3">
            <w:pPr>
              <w:tabs>
                <w:tab w:val="left" w:pos="-1080"/>
                <w:tab w:val="left" w:pos="-729"/>
                <w:tab w:val="decimal" w:pos="1235"/>
                <w:tab w:val="left" w:pos="7314"/>
                <w:tab w:val="decimal" w:pos="8382"/>
                <w:tab w:val="left" w:pos="8726"/>
                <w:tab w:val="decimal" w:pos="9734"/>
              </w:tabs>
              <w:ind w:right="-18"/>
              <w:jc w:val="right"/>
              <w:rPr>
                <w:lang w:val="en-GB"/>
              </w:rPr>
            </w:pPr>
          </w:p>
        </w:tc>
        <w:tc>
          <w:tcPr>
            <w:tcW w:w="2533" w:type="dxa"/>
            <w:tcBorders>
              <w:top w:val="double" w:sz="6" w:space="0" w:color="auto"/>
              <w:left w:val="nil"/>
              <w:right w:val="nil"/>
            </w:tcBorders>
          </w:tcPr>
          <w:p w14:paraId="44F1A008" w14:textId="77777777" w:rsidR="003F7203" w:rsidRPr="004460A4" w:rsidRDefault="003F7203" w:rsidP="002510E3">
            <w:pPr>
              <w:tabs>
                <w:tab w:val="left" w:pos="-1080"/>
                <w:tab w:val="left" w:pos="-729"/>
                <w:tab w:val="decimal" w:pos="1152"/>
                <w:tab w:val="decimal" w:pos="1235"/>
                <w:tab w:val="left" w:pos="7314"/>
                <w:tab w:val="decimal" w:pos="8382"/>
                <w:tab w:val="left" w:pos="8726"/>
                <w:tab w:val="decimal" w:pos="9734"/>
              </w:tabs>
              <w:ind w:right="-18"/>
              <w:jc w:val="right"/>
              <w:rPr>
                <w:lang w:val="en-GB"/>
              </w:rPr>
            </w:pPr>
            <w:r w:rsidRPr="004460A4">
              <w:rPr>
                <w:lang w:val="en-GB"/>
              </w:rPr>
              <w:t>Number of shares</w:t>
            </w:r>
          </w:p>
          <w:p w14:paraId="04953571" w14:textId="77777777" w:rsidR="003F7203" w:rsidRPr="004460A4" w:rsidRDefault="00B11923" w:rsidP="002510E3">
            <w:pPr>
              <w:tabs>
                <w:tab w:val="left" w:pos="-1080"/>
                <w:tab w:val="left" w:pos="-729"/>
                <w:tab w:val="decimal" w:pos="1152"/>
                <w:tab w:val="decimal" w:pos="1235"/>
                <w:tab w:val="left" w:pos="7314"/>
                <w:tab w:val="decimal" w:pos="8382"/>
                <w:tab w:val="left" w:pos="8726"/>
                <w:tab w:val="decimal" w:pos="9734"/>
              </w:tabs>
              <w:ind w:right="-18"/>
              <w:jc w:val="right"/>
              <w:rPr>
                <w:lang w:val="en-GB"/>
              </w:rPr>
            </w:pPr>
            <w:r w:rsidRPr="004460A4">
              <w:rPr>
                <w:lang w:val="en-GB"/>
              </w:rPr>
              <w:t>i</w:t>
            </w:r>
            <w:r w:rsidR="003F7203" w:rsidRPr="004460A4">
              <w:rPr>
                <w:lang w:val="en-GB"/>
              </w:rPr>
              <w:t>ssued or issuable</w:t>
            </w:r>
          </w:p>
        </w:tc>
      </w:tr>
      <w:tr w:rsidR="003F7203" w:rsidRPr="0042653A" w14:paraId="4DC160DE" w14:textId="77777777" w:rsidTr="00780EC5">
        <w:trPr>
          <w:cantSplit/>
          <w:jc w:val="right"/>
        </w:trPr>
        <w:tc>
          <w:tcPr>
            <w:tcW w:w="6765" w:type="dxa"/>
            <w:tcBorders>
              <w:top w:val="nil"/>
              <w:left w:val="nil"/>
              <w:bottom w:val="nil"/>
              <w:right w:val="nil"/>
            </w:tcBorders>
          </w:tcPr>
          <w:p w14:paraId="2666AD28" w14:textId="77777777" w:rsidR="003F7203" w:rsidRPr="00D9074F" w:rsidRDefault="003F7203" w:rsidP="002510E3">
            <w:pPr>
              <w:tabs>
                <w:tab w:val="left" w:pos="-1818"/>
                <w:tab w:val="left" w:pos="-1080"/>
                <w:tab w:val="left" w:pos="-729"/>
                <w:tab w:val="left" w:pos="252"/>
                <w:tab w:val="left" w:pos="522"/>
                <w:tab w:val="left" w:pos="7314"/>
                <w:tab w:val="decimal" w:pos="8382"/>
                <w:tab w:val="left" w:pos="8726"/>
                <w:tab w:val="decimal" w:pos="9734"/>
              </w:tabs>
              <w:jc w:val="both"/>
              <w:rPr>
                <w:lang w:val="en-GB"/>
              </w:rPr>
            </w:pPr>
            <w:r w:rsidRPr="00D9074F">
              <w:rPr>
                <w:lang w:val="en-GB"/>
              </w:rPr>
              <w:t>Common shares</w:t>
            </w:r>
          </w:p>
        </w:tc>
        <w:tc>
          <w:tcPr>
            <w:tcW w:w="748" w:type="dxa"/>
            <w:tcBorders>
              <w:top w:val="nil"/>
              <w:left w:val="nil"/>
              <w:bottom w:val="nil"/>
              <w:right w:val="nil"/>
            </w:tcBorders>
          </w:tcPr>
          <w:p w14:paraId="4C0DAAED" w14:textId="77777777" w:rsidR="003F7203" w:rsidRPr="00D9074F" w:rsidRDefault="003F7203" w:rsidP="002510E3">
            <w:pPr>
              <w:tabs>
                <w:tab w:val="left" w:pos="-1080"/>
                <w:tab w:val="left" w:pos="-729"/>
                <w:tab w:val="decimal" w:pos="1152"/>
                <w:tab w:val="left" w:pos="7314"/>
                <w:tab w:val="decimal" w:pos="8382"/>
                <w:tab w:val="left" w:pos="8726"/>
                <w:tab w:val="decimal" w:pos="9734"/>
              </w:tabs>
              <w:ind w:right="-198"/>
              <w:jc w:val="both"/>
              <w:rPr>
                <w:lang w:val="en-GB"/>
              </w:rPr>
            </w:pPr>
          </w:p>
        </w:tc>
        <w:tc>
          <w:tcPr>
            <w:tcW w:w="2533" w:type="dxa"/>
            <w:tcBorders>
              <w:top w:val="nil"/>
              <w:left w:val="nil"/>
              <w:bottom w:val="nil"/>
              <w:right w:val="nil"/>
            </w:tcBorders>
          </w:tcPr>
          <w:p w14:paraId="4363264E" w14:textId="3E96553F" w:rsidR="003F7203" w:rsidRPr="00341349" w:rsidRDefault="003F7203" w:rsidP="00D40073">
            <w:pPr>
              <w:tabs>
                <w:tab w:val="left" w:pos="-1080"/>
                <w:tab w:val="left" w:pos="-729"/>
                <w:tab w:val="decimal" w:pos="2232"/>
                <w:tab w:val="left" w:pos="7314"/>
                <w:tab w:val="decimal" w:pos="8382"/>
                <w:tab w:val="left" w:pos="8726"/>
                <w:tab w:val="decimal" w:pos="9734"/>
              </w:tabs>
              <w:jc w:val="right"/>
              <w:rPr>
                <w:lang w:val="en-GB"/>
              </w:rPr>
            </w:pPr>
            <w:r w:rsidRPr="00341349">
              <w:rPr>
                <w:lang w:val="en-GB"/>
              </w:rPr>
              <w:tab/>
            </w:r>
            <w:r w:rsidR="00780EC5" w:rsidRPr="00341349">
              <w:rPr>
                <w:lang w:val="en-GB"/>
              </w:rPr>
              <w:t>8</w:t>
            </w:r>
            <w:r w:rsidR="0086038A" w:rsidRPr="00341349">
              <w:rPr>
                <w:lang w:val="en-GB"/>
              </w:rPr>
              <w:t>,</w:t>
            </w:r>
            <w:r w:rsidR="00C60517">
              <w:rPr>
                <w:lang w:val="en-GB"/>
              </w:rPr>
              <w:t>874</w:t>
            </w:r>
            <w:r w:rsidR="00D2472A" w:rsidRPr="00341349">
              <w:rPr>
                <w:lang w:val="en-GB"/>
              </w:rPr>
              <w:t>,</w:t>
            </w:r>
            <w:r w:rsidR="00C60517">
              <w:rPr>
                <w:lang w:val="en-GB"/>
              </w:rPr>
              <w:t>546</w:t>
            </w:r>
          </w:p>
        </w:tc>
      </w:tr>
      <w:tr w:rsidR="00C56535" w:rsidRPr="0042653A" w14:paraId="3AA8FD3E" w14:textId="77777777" w:rsidTr="00780EC5">
        <w:trPr>
          <w:cantSplit/>
          <w:jc w:val="right"/>
        </w:trPr>
        <w:tc>
          <w:tcPr>
            <w:tcW w:w="6765" w:type="dxa"/>
            <w:tcBorders>
              <w:top w:val="nil"/>
              <w:left w:val="nil"/>
              <w:bottom w:val="nil"/>
              <w:right w:val="nil"/>
            </w:tcBorders>
          </w:tcPr>
          <w:p w14:paraId="0EADF905" w14:textId="77777777" w:rsidR="00C56535" w:rsidRPr="00D9074F" w:rsidRDefault="00C56535" w:rsidP="002510E3">
            <w:pPr>
              <w:tabs>
                <w:tab w:val="left" w:pos="-1818"/>
                <w:tab w:val="left" w:pos="-1080"/>
                <w:tab w:val="left" w:pos="-729"/>
                <w:tab w:val="left" w:pos="252"/>
                <w:tab w:val="left" w:pos="522"/>
                <w:tab w:val="left" w:pos="7314"/>
                <w:tab w:val="decimal" w:pos="8382"/>
                <w:tab w:val="left" w:pos="8726"/>
                <w:tab w:val="decimal" w:pos="9734"/>
              </w:tabs>
              <w:jc w:val="both"/>
              <w:rPr>
                <w:lang w:val="en-GB"/>
              </w:rPr>
            </w:pPr>
            <w:r w:rsidRPr="00D9074F">
              <w:rPr>
                <w:lang w:val="en-GB"/>
              </w:rPr>
              <w:t>Stock options</w:t>
            </w:r>
          </w:p>
        </w:tc>
        <w:tc>
          <w:tcPr>
            <w:tcW w:w="748" w:type="dxa"/>
            <w:tcBorders>
              <w:top w:val="nil"/>
              <w:left w:val="nil"/>
              <w:bottom w:val="nil"/>
              <w:right w:val="nil"/>
            </w:tcBorders>
          </w:tcPr>
          <w:p w14:paraId="4336FC86" w14:textId="77777777" w:rsidR="00C56535" w:rsidRPr="00D9074F" w:rsidRDefault="00C56535" w:rsidP="002510E3">
            <w:pPr>
              <w:tabs>
                <w:tab w:val="left" w:pos="-1080"/>
                <w:tab w:val="left" w:pos="-729"/>
                <w:tab w:val="decimal" w:pos="1152"/>
                <w:tab w:val="left" w:pos="7314"/>
                <w:tab w:val="decimal" w:pos="8382"/>
                <w:tab w:val="left" w:pos="8726"/>
                <w:tab w:val="decimal" w:pos="9734"/>
              </w:tabs>
              <w:ind w:right="-198"/>
              <w:rPr>
                <w:lang w:val="en-GB"/>
              </w:rPr>
            </w:pPr>
          </w:p>
        </w:tc>
        <w:tc>
          <w:tcPr>
            <w:tcW w:w="2533" w:type="dxa"/>
            <w:tcBorders>
              <w:top w:val="nil"/>
              <w:left w:val="nil"/>
              <w:bottom w:val="nil"/>
              <w:right w:val="nil"/>
            </w:tcBorders>
          </w:tcPr>
          <w:p w14:paraId="2F827400" w14:textId="54C2F758" w:rsidR="00C56535" w:rsidRPr="00973556" w:rsidRDefault="00C56535" w:rsidP="007B0D5E">
            <w:pPr>
              <w:tabs>
                <w:tab w:val="left" w:pos="-1080"/>
                <w:tab w:val="left" w:pos="-729"/>
                <w:tab w:val="left" w:pos="1359"/>
                <w:tab w:val="decimal" w:pos="2358"/>
                <w:tab w:val="left" w:pos="7314"/>
                <w:tab w:val="decimal" w:pos="8382"/>
                <w:tab w:val="left" w:pos="8726"/>
                <w:tab w:val="decimal" w:pos="9734"/>
              </w:tabs>
              <w:jc w:val="right"/>
              <w:rPr>
                <w:lang w:val="en-GB"/>
              </w:rPr>
            </w:pPr>
            <w:r w:rsidRPr="00973556">
              <w:rPr>
                <w:lang w:val="en-GB"/>
              </w:rPr>
              <w:tab/>
            </w:r>
            <w:r w:rsidR="00973556" w:rsidRPr="00973556">
              <w:rPr>
                <w:lang w:val="en-GB"/>
              </w:rPr>
              <w:t>4</w:t>
            </w:r>
            <w:r w:rsidR="00C60517">
              <w:rPr>
                <w:lang w:val="en-GB"/>
              </w:rPr>
              <w:t>63</w:t>
            </w:r>
            <w:r w:rsidR="001D7C3D" w:rsidRPr="00973556">
              <w:rPr>
                <w:lang w:val="en-GB"/>
              </w:rPr>
              <w:t>,</w:t>
            </w:r>
            <w:r w:rsidR="00780EC5" w:rsidRPr="00973556">
              <w:rPr>
                <w:lang w:val="en-GB"/>
              </w:rPr>
              <w:t>000</w:t>
            </w:r>
          </w:p>
        </w:tc>
      </w:tr>
      <w:tr w:rsidR="00C56535" w:rsidRPr="0042653A" w14:paraId="1BC65EEA" w14:textId="77777777" w:rsidTr="00780EC5">
        <w:trPr>
          <w:cantSplit/>
          <w:jc w:val="right"/>
        </w:trPr>
        <w:tc>
          <w:tcPr>
            <w:tcW w:w="6765" w:type="dxa"/>
            <w:tcBorders>
              <w:top w:val="nil"/>
              <w:left w:val="nil"/>
              <w:bottom w:val="double" w:sz="4" w:space="0" w:color="auto"/>
              <w:right w:val="nil"/>
            </w:tcBorders>
          </w:tcPr>
          <w:p w14:paraId="0007F3D1" w14:textId="77777777" w:rsidR="00314CBD" w:rsidRPr="00D9074F" w:rsidRDefault="00985365" w:rsidP="00693921">
            <w:pPr>
              <w:tabs>
                <w:tab w:val="left" w:pos="-1818"/>
                <w:tab w:val="left" w:pos="-1080"/>
                <w:tab w:val="left" w:pos="-729"/>
                <w:tab w:val="left" w:pos="252"/>
                <w:tab w:val="left" w:pos="522"/>
                <w:tab w:val="left" w:pos="7314"/>
                <w:tab w:val="decimal" w:pos="8382"/>
                <w:tab w:val="left" w:pos="8726"/>
                <w:tab w:val="decimal" w:pos="9734"/>
              </w:tabs>
              <w:jc w:val="both"/>
              <w:rPr>
                <w:lang w:val="en-GB"/>
              </w:rPr>
            </w:pPr>
            <w:r w:rsidRPr="00D9074F">
              <w:rPr>
                <w:lang w:val="en-GB"/>
              </w:rPr>
              <w:t>Warrants</w:t>
            </w:r>
          </w:p>
        </w:tc>
        <w:tc>
          <w:tcPr>
            <w:tcW w:w="748" w:type="dxa"/>
            <w:tcBorders>
              <w:top w:val="nil"/>
              <w:left w:val="nil"/>
              <w:bottom w:val="double" w:sz="4" w:space="0" w:color="auto"/>
              <w:right w:val="nil"/>
            </w:tcBorders>
          </w:tcPr>
          <w:p w14:paraId="4C21468F" w14:textId="77777777" w:rsidR="00C56535" w:rsidRPr="00D9074F" w:rsidRDefault="00C56535" w:rsidP="002510E3">
            <w:pPr>
              <w:tabs>
                <w:tab w:val="left" w:pos="-1080"/>
                <w:tab w:val="left" w:pos="-729"/>
                <w:tab w:val="decimal" w:pos="1152"/>
                <w:tab w:val="left" w:pos="7314"/>
                <w:tab w:val="decimal" w:pos="8382"/>
                <w:tab w:val="left" w:pos="8726"/>
                <w:tab w:val="decimal" w:pos="9734"/>
              </w:tabs>
              <w:ind w:right="-198"/>
              <w:rPr>
                <w:sz w:val="21"/>
                <w:szCs w:val="21"/>
                <w:lang w:val="en-GB"/>
              </w:rPr>
            </w:pPr>
          </w:p>
        </w:tc>
        <w:tc>
          <w:tcPr>
            <w:tcW w:w="2533" w:type="dxa"/>
            <w:tcBorders>
              <w:top w:val="nil"/>
              <w:left w:val="nil"/>
              <w:bottom w:val="double" w:sz="4" w:space="0" w:color="auto"/>
              <w:right w:val="nil"/>
            </w:tcBorders>
          </w:tcPr>
          <w:p w14:paraId="339CA72E" w14:textId="11D5E2FC" w:rsidR="00C56535" w:rsidRPr="00FE517C" w:rsidRDefault="00985365" w:rsidP="007B0D5E">
            <w:pPr>
              <w:tabs>
                <w:tab w:val="left" w:pos="-1080"/>
                <w:tab w:val="left" w:pos="-729"/>
                <w:tab w:val="decimal" w:pos="2232"/>
                <w:tab w:val="left" w:pos="7314"/>
                <w:tab w:val="decimal" w:pos="8382"/>
                <w:tab w:val="left" w:pos="8726"/>
                <w:tab w:val="decimal" w:pos="9734"/>
              </w:tabs>
              <w:jc w:val="right"/>
              <w:rPr>
                <w:lang w:val="en-GB"/>
              </w:rPr>
            </w:pPr>
            <w:r w:rsidRPr="00FE517C">
              <w:rPr>
                <w:lang w:val="en-GB"/>
              </w:rPr>
              <w:tab/>
            </w:r>
            <w:r w:rsidR="00780EC5" w:rsidRPr="00FE517C">
              <w:rPr>
                <w:lang w:val="en-GB"/>
              </w:rPr>
              <w:t>1</w:t>
            </w:r>
            <w:r w:rsidR="00394E2F" w:rsidRPr="00FE517C">
              <w:rPr>
                <w:lang w:val="en-GB"/>
              </w:rPr>
              <w:t>,</w:t>
            </w:r>
            <w:r w:rsidR="00C60517">
              <w:rPr>
                <w:lang w:val="en-GB"/>
              </w:rPr>
              <w:t>640</w:t>
            </w:r>
            <w:r w:rsidR="00D2472A" w:rsidRPr="00FE517C">
              <w:rPr>
                <w:lang w:val="en-GB"/>
              </w:rPr>
              <w:t>,</w:t>
            </w:r>
            <w:r w:rsidR="00C60517">
              <w:rPr>
                <w:lang w:val="en-GB"/>
              </w:rPr>
              <w:t>367</w:t>
            </w:r>
          </w:p>
        </w:tc>
      </w:tr>
    </w:tbl>
    <w:p w14:paraId="48AD7CAA" w14:textId="77777777" w:rsidR="00C60517" w:rsidRPr="000C49C6" w:rsidRDefault="00EB52FF" w:rsidP="00C60517">
      <w:pPr>
        <w:jc w:val="both"/>
      </w:pPr>
      <w:r>
        <w:t xml:space="preserve">As at </w:t>
      </w:r>
      <w:r w:rsidR="00A138F7">
        <w:t xml:space="preserve">the date of this Management Discussion and Analysis, </w:t>
      </w:r>
      <w:r w:rsidRPr="00A138F7">
        <w:t xml:space="preserve">there </w:t>
      </w:r>
      <w:r w:rsidRPr="0039129A">
        <w:t xml:space="preserve">are </w:t>
      </w:r>
      <w:r w:rsidR="00A01F83">
        <w:t xml:space="preserve">no </w:t>
      </w:r>
      <w:r w:rsidRPr="0039129A">
        <w:t>common</w:t>
      </w:r>
      <w:r>
        <w:t xml:space="preserve"> shares held in escrow.</w:t>
      </w:r>
      <w:r w:rsidR="00C60517">
        <w:t xml:space="preserve"> On February 28, 2024, the Company completed a 10 to 1 share consolidation. All references to the number of shares and per share amounts have been retroactively restated to reflect the consolidation.</w:t>
      </w:r>
    </w:p>
    <w:p w14:paraId="7149AD05" w14:textId="77777777" w:rsidR="0020255B" w:rsidRDefault="0020255B" w:rsidP="002B50D6">
      <w:pPr>
        <w:autoSpaceDE w:val="0"/>
        <w:autoSpaceDN w:val="0"/>
        <w:adjustRightInd w:val="0"/>
        <w:rPr>
          <w:b/>
          <w:bCs/>
          <w:sz w:val="24"/>
          <w:szCs w:val="24"/>
          <w:lang w:val="en-CA" w:eastAsia="zh-CN"/>
        </w:rPr>
      </w:pPr>
    </w:p>
    <w:p w14:paraId="1B300E4D" w14:textId="0C995474" w:rsidR="002B50D6" w:rsidRPr="002B50D6" w:rsidRDefault="002B50D6" w:rsidP="002B50D6">
      <w:pPr>
        <w:autoSpaceDE w:val="0"/>
        <w:autoSpaceDN w:val="0"/>
        <w:adjustRightInd w:val="0"/>
        <w:rPr>
          <w:b/>
          <w:bCs/>
          <w:sz w:val="24"/>
          <w:szCs w:val="24"/>
          <w:lang w:val="en-CA" w:eastAsia="zh-CN"/>
        </w:rPr>
      </w:pPr>
      <w:r w:rsidRPr="004E3929">
        <w:rPr>
          <w:b/>
          <w:bCs/>
          <w:sz w:val="24"/>
          <w:szCs w:val="24"/>
          <w:lang w:val="en-CA" w:eastAsia="zh-CN"/>
        </w:rPr>
        <w:t>Critical Judgments and Estimates</w:t>
      </w:r>
    </w:p>
    <w:p w14:paraId="1DA1558C" w14:textId="77777777" w:rsidR="002B50D6" w:rsidRPr="00C033F0" w:rsidRDefault="002B50D6" w:rsidP="002B50D6">
      <w:pPr>
        <w:autoSpaceDE w:val="0"/>
        <w:autoSpaceDN w:val="0"/>
        <w:adjustRightInd w:val="0"/>
        <w:rPr>
          <w:b/>
          <w:bCs/>
          <w:sz w:val="22"/>
          <w:szCs w:val="22"/>
          <w:lang w:val="en-CA" w:eastAsia="zh-CN"/>
        </w:rPr>
      </w:pPr>
    </w:p>
    <w:p w14:paraId="515BB0D4" w14:textId="77777777" w:rsidR="002B50D6" w:rsidRPr="002B50D6" w:rsidRDefault="002B50D6" w:rsidP="002B50D6">
      <w:pPr>
        <w:autoSpaceDE w:val="0"/>
        <w:autoSpaceDN w:val="0"/>
        <w:adjustRightInd w:val="0"/>
        <w:jc w:val="both"/>
        <w:rPr>
          <w:lang w:val="en-CA" w:eastAsia="zh-CN"/>
        </w:rPr>
      </w:pPr>
      <w:r w:rsidRPr="002B50D6">
        <w:rPr>
          <w:lang w:val="en-CA" w:eastAsia="zh-CN"/>
        </w:rPr>
        <w:t>The preparation of financial statements in conformity with IFRS requires management to make estimates and assumptions that affect the reported amounts of assets and liabilities at the date of the financial statements and the reported amounts of revenues and expenses during the reporting period. Actual results may differ from those estimates. Estimates are reviewed on an ongoing basis based on historical</w:t>
      </w:r>
      <w:r>
        <w:rPr>
          <w:lang w:val="en-CA" w:eastAsia="zh-CN"/>
        </w:rPr>
        <w:t xml:space="preserve"> </w:t>
      </w:r>
      <w:r w:rsidRPr="002B50D6">
        <w:rPr>
          <w:lang w:val="en-CA" w:eastAsia="zh-CN"/>
        </w:rPr>
        <w:t>experience and other factors that are considered to be relevant under the circumstances. Revisions to estimates on the resulting effects of the carrying amounts of the Company’s assets and liabilities are accounted for prospectively.</w:t>
      </w:r>
    </w:p>
    <w:p w14:paraId="459B8E1B" w14:textId="77777777" w:rsidR="002863F6" w:rsidRDefault="002863F6" w:rsidP="002B50D6">
      <w:pPr>
        <w:autoSpaceDE w:val="0"/>
        <w:autoSpaceDN w:val="0"/>
        <w:adjustRightInd w:val="0"/>
        <w:jc w:val="both"/>
        <w:rPr>
          <w:lang w:val="en-CA" w:eastAsia="zh-CN"/>
        </w:rPr>
      </w:pPr>
    </w:p>
    <w:p w14:paraId="7BA77A85" w14:textId="61BED722" w:rsidR="002B50D6" w:rsidRPr="002B50D6" w:rsidRDefault="002B50D6" w:rsidP="002B50D6">
      <w:pPr>
        <w:autoSpaceDE w:val="0"/>
        <w:autoSpaceDN w:val="0"/>
        <w:adjustRightInd w:val="0"/>
        <w:jc w:val="both"/>
        <w:rPr>
          <w:lang w:val="en-CA" w:eastAsia="zh-CN"/>
        </w:rPr>
      </w:pPr>
      <w:r w:rsidRPr="002B50D6">
        <w:rPr>
          <w:lang w:val="en-CA" w:eastAsia="zh-CN"/>
        </w:rPr>
        <w:t xml:space="preserve">All of the Company’s significant accounting policies and estimates are </w:t>
      </w:r>
      <w:r w:rsidRPr="006A7986">
        <w:rPr>
          <w:lang w:val="en-CA" w:eastAsia="zh-CN"/>
        </w:rPr>
        <w:t xml:space="preserve">included </w:t>
      </w:r>
      <w:r w:rsidRPr="003018EA">
        <w:rPr>
          <w:lang w:val="en-CA" w:eastAsia="zh-CN"/>
        </w:rPr>
        <w:t xml:space="preserve">in Note 3 </w:t>
      </w:r>
      <w:r w:rsidR="00972BC0" w:rsidRPr="003018EA">
        <w:rPr>
          <w:lang w:val="en-CA" w:eastAsia="zh-CN"/>
        </w:rPr>
        <w:t>of</w:t>
      </w:r>
      <w:r w:rsidR="00972BC0" w:rsidRPr="006A7986">
        <w:rPr>
          <w:lang w:val="en-CA" w:eastAsia="zh-CN"/>
        </w:rPr>
        <w:t xml:space="preserve"> the</w:t>
      </w:r>
      <w:r w:rsidR="00972BC0" w:rsidRPr="00135B4A">
        <w:rPr>
          <w:lang w:val="en-CA" w:eastAsia="zh-CN"/>
        </w:rPr>
        <w:t xml:space="preserve"> </w:t>
      </w:r>
      <w:r w:rsidR="008A32BC">
        <w:rPr>
          <w:lang w:val="en-CA" w:eastAsia="zh-CN"/>
        </w:rPr>
        <w:t xml:space="preserve">condensed </w:t>
      </w:r>
      <w:r w:rsidR="004E3929">
        <w:rPr>
          <w:lang w:val="en-CA" w:eastAsia="zh-CN"/>
        </w:rPr>
        <w:t>con</w:t>
      </w:r>
      <w:r w:rsidR="00485004">
        <w:rPr>
          <w:lang w:val="en-CA" w:eastAsia="zh-CN"/>
        </w:rPr>
        <w:t xml:space="preserve">solidated </w:t>
      </w:r>
      <w:r w:rsidR="008A32BC">
        <w:rPr>
          <w:lang w:val="en-CA" w:eastAsia="zh-CN"/>
        </w:rPr>
        <w:t xml:space="preserve">interim </w:t>
      </w:r>
      <w:r w:rsidRPr="002B50D6">
        <w:rPr>
          <w:lang w:val="en-CA" w:eastAsia="zh-CN"/>
        </w:rPr>
        <w:t xml:space="preserve">financial statements for the </w:t>
      </w:r>
      <w:r w:rsidR="00C60517">
        <w:rPr>
          <w:lang w:val="en-CA" w:eastAsia="zh-CN"/>
        </w:rPr>
        <w:t>six</w:t>
      </w:r>
      <w:r w:rsidR="008A32BC">
        <w:rPr>
          <w:lang w:val="en-CA" w:eastAsia="zh-CN"/>
        </w:rPr>
        <w:t xml:space="preserve"> month period e</w:t>
      </w:r>
      <w:r w:rsidR="007B78DF">
        <w:rPr>
          <w:lang w:val="en-CA" w:eastAsia="zh-CN"/>
        </w:rPr>
        <w:t>nded</w:t>
      </w:r>
      <w:r w:rsidRPr="002B50D6">
        <w:rPr>
          <w:lang w:val="en-CA" w:eastAsia="zh-CN"/>
        </w:rPr>
        <w:t xml:space="preserve"> </w:t>
      </w:r>
      <w:r w:rsidR="00C60517">
        <w:rPr>
          <w:lang w:val="en-CA" w:eastAsia="zh-CN"/>
        </w:rPr>
        <w:t>February</w:t>
      </w:r>
      <w:r w:rsidR="00780EC5">
        <w:rPr>
          <w:lang w:val="en-CA" w:eastAsia="zh-CN"/>
        </w:rPr>
        <w:t xml:space="preserve"> </w:t>
      </w:r>
      <w:r w:rsidR="00C60517">
        <w:rPr>
          <w:lang w:val="en-CA" w:eastAsia="zh-CN"/>
        </w:rPr>
        <w:t>29</w:t>
      </w:r>
      <w:r>
        <w:rPr>
          <w:lang w:val="en-CA" w:eastAsia="zh-CN"/>
        </w:rPr>
        <w:t>, 20</w:t>
      </w:r>
      <w:r w:rsidR="00886B42">
        <w:rPr>
          <w:lang w:val="en-CA" w:eastAsia="zh-CN"/>
        </w:rPr>
        <w:t>2</w:t>
      </w:r>
      <w:r w:rsidR="00C60517">
        <w:rPr>
          <w:lang w:val="en-CA" w:eastAsia="zh-CN"/>
        </w:rPr>
        <w:t>4</w:t>
      </w:r>
      <w:r w:rsidRPr="002B50D6">
        <w:rPr>
          <w:lang w:val="en-CA" w:eastAsia="zh-CN"/>
        </w:rPr>
        <w:t>.</w:t>
      </w:r>
    </w:p>
    <w:p w14:paraId="631442EA" w14:textId="77777777" w:rsidR="00184719" w:rsidRDefault="00184719" w:rsidP="007E70BE">
      <w:pPr>
        <w:pStyle w:val="subheadingtextnotes"/>
        <w:tabs>
          <w:tab w:val="left" w:pos="720"/>
        </w:tabs>
        <w:ind w:left="0"/>
        <w:rPr>
          <w:b/>
          <w:bCs/>
          <w:sz w:val="24"/>
          <w:szCs w:val="24"/>
        </w:rPr>
      </w:pPr>
    </w:p>
    <w:p w14:paraId="1B57FBED" w14:textId="7CF79003" w:rsidR="00622373" w:rsidRDefault="00622373" w:rsidP="007E70BE">
      <w:pPr>
        <w:pStyle w:val="subheadingtextnotes"/>
        <w:tabs>
          <w:tab w:val="left" w:pos="720"/>
        </w:tabs>
        <w:ind w:left="0"/>
        <w:rPr>
          <w:b/>
          <w:bCs/>
          <w:sz w:val="24"/>
          <w:szCs w:val="24"/>
        </w:rPr>
      </w:pPr>
      <w:r w:rsidRPr="008A32BC">
        <w:rPr>
          <w:b/>
          <w:bCs/>
          <w:sz w:val="24"/>
          <w:szCs w:val="24"/>
        </w:rPr>
        <w:t>New Standards</w:t>
      </w:r>
      <w:r w:rsidRPr="005166BF">
        <w:rPr>
          <w:b/>
          <w:bCs/>
          <w:sz w:val="24"/>
          <w:szCs w:val="24"/>
        </w:rPr>
        <w:t xml:space="preserve"> </w:t>
      </w:r>
    </w:p>
    <w:p w14:paraId="196882AD" w14:textId="77777777" w:rsidR="00622373" w:rsidRDefault="00622373" w:rsidP="007E70BE">
      <w:pPr>
        <w:pStyle w:val="subheadingtextnotes"/>
        <w:tabs>
          <w:tab w:val="left" w:pos="720"/>
        </w:tabs>
        <w:ind w:left="0"/>
        <w:rPr>
          <w:b/>
          <w:bCs/>
          <w:sz w:val="24"/>
          <w:szCs w:val="24"/>
        </w:rPr>
      </w:pPr>
    </w:p>
    <w:p w14:paraId="157BA730" w14:textId="23F78BC3" w:rsidR="007B0D5E" w:rsidRPr="00A6504E" w:rsidRDefault="007B0D5E" w:rsidP="007B0D5E">
      <w:r w:rsidRPr="00A6504E">
        <w:t xml:space="preserve">The </w:t>
      </w:r>
      <w:r w:rsidR="000F53EF">
        <w:t>f</w:t>
      </w:r>
      <w:r w:rsidRPr="00A6504E">
        <w:t>ollowing revised IFRS that ha</w:t>
      </w:r>
      <w:r w:rsidR="008A32BC">
        <w:t>ve</w:t>
      </w:r>
      <w:r w:rsidRPr="00A6504E">
        <w:t xml:space="preserve"> been issued </w:t>
      </w:r>
      <w:r w:rsidR="000F53EF">
        <w:t>and</w:t>
      </w:r>
      <w:r w:rsidRPr="00A6504E">
        <w:t xml:space="preserve"> effective </w:t>
      </w:r>
      <w:r w:rsidR="000F53EF">
        <w:t xml:space="preserve">as </w:t>
      </w:r>
      <w:r w:rsidRPr="00A6504E">
        <w:t xml:space="preserve">at </w:t>
      </w:r>
      <w:r w:rsidR="00C60517">
        <w:t>February</w:t>
      </w:r>
      <w:r w:rsidRPr="00A6504E">
        <w:t xml:space="preserve"> </w:t>
      </w:r>
      <w:r w:rsidR="00C60517">
        <w:t>29</w:t>
      </w:r>
      <w:r w:rsidRPr="00A6504E">
        <w:t>, 202</w:t>
      </w:r>
      <w:r w:rsidR="00C60517">
        <w:t>4</w:t>
      </w:r>
      <w:r w:rsidRPr="00A6504E">
        <w:t xml:space="preserve">: </w:t>
      </w:r>
    </w:p>
    <w:p w14:paraId="43C9A053" w14:textId="77777777" w:rsidR="007B0D5E" w:rsidRPr="00A6504E" w:rsidRDefault="007B0D5E" w:rsidP="007B0D5E"/>
    <w:p w14:paraId="2F0DC81E" w14:textId="7FDD97FD" w:rsidR="002D7834" w:rsidRDefault="00E71FD2" w:rsidP="007B0D5E">
      <w:pPr>
        <w:ind w:left="284" w:hanging="284"/>
        <w:jc w:val="both"/>
      </w:pPr>
      <w:r w:rsidRPr="00A6504E">
        <w:sym w:font="Symbol" w:char="F0B7"/>
      </w:r>
      <w:r w:rsidRPr="00A6504E">
        <w:t xml:space="preserve"> </w:t>
      </w:r>
      <w:r w:rsidRPr="00A6504E">
        <w:tab/>
        <w:t xml:space="preserve">IAS 1, </w:t>
      </w:r>
      <w:r w:rsidRPr="00A6504E">
        <w:rPr>
          <w:i/>
        </w:rPr>
        <w:t xml:space="preserve">Presentation of Financial Statements, </w:t>
      </w:r>
      <w:r w:rsidRPr="00A6504E">
        <w:rPr>
          <w:iCs/>
        </w:rPr>
        <w:t>has been amended to clarify how to classify debt and other liabilities as either current or non-current</w:t>
      </w:r>
      <w:r w:rsidR="00610E17">
        <w:rPr>
          <w:iCs/>
        </w:rPr>
        <w:t xml:space="preserve"> and to disclose material accounting policy information, instead of significant accounting policies</w:t>
      </w:r>
      <w:r w:rsidRPr="00A6504E">
        <w:rPr>
          <w:iCs/>
        </w:rPr>
        <w:t xml:space="preserve">. The amendment to IAS 1 is effective for the years beginning on or after January 1, 2023, with early application permitted. </w:t>
      </w:r>
      <w:r w:rsidRPr="00635E4B">
        <w:t xml:space="preserve"> </w:t>
      </w:r>
    </w:p>
    <w:p w14:paraId="79B2298F" w14:textId="77777777" w:rsidR="00A6504E" w:rsidRDefault="00A6504E" w:rsidP="007B0D5E">
      <w:pPr>
        <w:ind w:left="284" w:hanging="284"/>
        <w:jc w:val="both"/>
      </w:pPr>
    </w:p>
    <w:p w14:paraId="79229351" w14:textId="77777777" w:rsidR="00A6504E" w:rsidRPr="00E50C22" w:rsidRDefault="00A6504E" w:rsidP="00A6504E">
      <w:pPr>
        <w:pStyle w:val="ListParagraph"/>
        <w:numPr>
          <w:ilvl w:val="0"/>
          <w:numId w:val="28"/>
        </w:numPr>
        <w:ind w:left="284" w:hanging="284"/>
        <w:jc w:val="both"/>
        <w:rPr>
          <w:sz w:val="20"/>
        </w:rPr>
      </w:pPr>
      <w:r w:rsidRPr="00E50C22">
        <w:rPr>
          <w:sz w:val="20"/>
        </w:rPr>
        <w:t xml:space="preserve">IAS 8, </w:t>
      </w:r>
      <w:r w:rsidRPr="00E50C22">
        <w:rPr>
          <w:i/>
          <w:iCs/>
          <w:sz w:val="20"/>
        </w:rPr>
        <w:t>Definition of Accounting Estimates</w:t>
      </w:r>
      <w:r w:rsidRPr="00E50C22">
        <w:rPr>
          <w:sz w:val="20"/>
        </w:rPr>
        <w:t xml:space="preserve"> – The amendments replace the definition of a change in accounting estimates with a definition of accounting estimates. Under the new definition, accounting estimates are “monetary amounts in financial statements that are subject to measurement uncertainty”. Entities develop accounting estimates if accounting policies require items in financial statements to be measured in a way that involves measurement uncertainty. The amendments clarify that a change in accounting estimate that results from new information or new developments is not the correction of an error.</w:t>
      </w:r>
    </w:p>
    <w:p w14:paraId="3E7A80D0" w14:textId="77777777" w:rsidR="00A6504E" w:rsidRDefault="00A6504E" w:rsidP="00A6504E">
      <w:pPr>
        <w:ind w:left="993" w:hanging="284"/>
        <w:jc w:val="both"/>
      </w:pPr>
    </w:p>
    <w:p w14:paraId="7CAC8519" w14:textId="77777777" w:rsidR="00A6504E" w:rsidRPr="00CC4CAF" w:rsidRDefault="00A6504E" w:rsidP="00A6504E">
      <w:pPr>
        <w:pStyle w:val="ListParagraph"/>
        <w:numPr>
          <w:ilvl w:val="0"/>
          <w:numId w:val="28"/>
        </w:numPr>
        <w:ind w:left="284" w:hanging="284"/>
        <w:jc w:val="both"/>
        <w:rPr>
          <w:sz w:val="20"/>
        </w:rPr>
      </w:pPr>
      <w:r w:rsidRPr="00CC4CAF">
        <w:rPr>
          <w:sz w:val="20"/>
        </w:rPr>
        <w:t>IAS 12</w:t>
      </w:r>
      <w:r w:rsidRPr="00CC4CAF">
        <w:rPr>
          <w:i/>
          <w:iCs/>
          <w:sz w:val="20"/>
        </w:rPr>
        <w:t>, Income Taxes</w:t>
      </w:r>
      <w:r>
        <w:rPr>
          <w:i/>
          <w:iCs/>
          <w:sz w:val="20"/>
        </w:rPr>
        <w:t xml:space="preserve"> </w:t>
      </w:r>
      <w:r w:rsidRPr="00CC4CAF">
        <w:rPr>
          <w:sz w:val="20"/>
        </w:rPr>
        <w:t xml:space="preserve"> – The amendment will require companies to recognize deferred tax on particular transactions that, on initial recognition, give rise to equal amounts of taxable and deductible temporary differences. The amendments will typically apply to transactions such as leases for the lessee and decommissioning and restoration obligations related to assets in operation. This amendment is effective for financial statements beginning on or after January 1, 2023, with early adoption permitted.</w:t>
      </w:r>
    </w:p>
    <w:p w14:paraId="574EC41A" w14:textId="77777777" w:rsidR="000F53EF" w:rsidRDefault="000F53EF" w:rsidP="00A6504E">
      <w:pPr>
        <w:ind w:hanging="11"/>
        <w:rPr>
          <w:b/>
          <w:bCs/>
          <w:sz w:val="24"/>
          <w:szCs w:val="24"/>
        </w:rPr>
      </w:pPr>
    </w:p>
    <w:p w14:paraId="72EB0529" w14:textId="240DF03F" w:rsidR="000F53EF" w:rsidRPr="000F53EF" w:rsidRDefault="000F53EF" w:rsidP="00A6504E">
      <w:pPr>
        <w:ind w:hanging="11"/>
      </w:pPr>
      <w:r>
        <w:t xml:space="preserve">These accounting standards do not have a significant effect on the Company’s accounting policies or consolidated financial statements. </w:t>
      </w:r>
    </w:p>
    <w:p w14:paraId="1D782B35" w14:textId="77777777" w:rsidR="000F53EF" w:rsidRDefault="000F53EF" w:rsidP="00A6504E">
      <w:pPr>
        <w:ind w:hanging="11"/>
        <w:rPr>
          <w:b/>
          <w:bCs/>
          <w:sz w:val="24"/>
          <w:szCs w:val="24"/>
        </w:rPr>
      </w:pPr>
    </w:p>
    <w:p w14:paraId="294C9083" w14:textId="2EC1AE76" w:rsidR="006B3ABC" w:rsidRPr="00A6504E" w:rsidRDefault="006B3ABC" w:rsidP="00A6504E">
      <w:pPr>
        <w:ind w:hanging="11"/>
        <w:rPr>
          <w:b/>
          <w:bCs/>
          <w:sz w:val="24"/>
          <w:szCs w:val="24"/>
        </w:rPr>
      </w:pPr>
      <w:r w:rsidRPr="00A6504E">
        <w:rPr>
          <w:b/>
          <w:bCs/>
          <w:sz w:val="24"/>
          <w:szCs w:val="24"/>
        </w:rPr>
        <w:lastRenderedPageBreak/>
        <w:t>Risks and Uncertainties</w:t>
      </w:r>
    </w:p>
    <w:p w14:paraId="7950AD14" w14:textId="77777777" w:rsidR="006D51C7" w:rsidRDefault="006D51C7" w:rsidP="006B3ABC">
      <w:pPr>
        <w:pStyle w:val="BodyText"/>
        <w:jc w:val="both"/>
        <w:rPr>
          <w:sz w:val="20"/>
        </w:rPr>
      </w:pPr>
    </w:p>
    <w:p w14:paraId="0933FD35" w14:textId="47C9E5FA" w:rsidR="00F76809" w:rsidRDefault="006B3ABC" w:rsidP="006B3ABC">
      <w:pPr>
        <w:pStyle w:val="BodyText"/>
        <w:jc w:val="both"/>
        <w:rPr>
          <w:sz w:val="20"/>
        </w:rPr>
      </w:pPr>
      <w:r w:rsidRPr="006B3ABC">
        <w:rPr>
          <w:sz w:val="20"/>
        </w:rPr>
        <w:t xml:space="preserve">Exploration of mineral properties involves a high degree of </w:t>
      </w:r>
      <w:proofErr w:type="gramStart"/>
      <w:r w:rsidRPr="006B3ABC">
        <w:rPr>
          <w:sz w:val="20"/>
        </w:rPr>
        <w:t>risk</w:t>
      </w:r>
      <w:proofErr w:type="gramEnd"/>
      <w:r w:rsidRPr="006B3ABC">
        <w:rPr>
          <w:sz w:val="20"/>
        </w:rPr>
        <w:t xml:space="preserve"> and the successful achievement of a profitable operation cannot be assured.  </w:t>
      </w:r>
      <w:r w:rsidR="000B1B99" w:rsidRPr="006B3ABC">
        <w:rPr>
          <w:sz w:val="20"/>
        </w:rPr>
        <w:t>The costs</w:t>
      </w:r>
      <w:r w:rsidRPr="006B3ABC">
        <w:rPr>
          <w:sz w:val="20"/>
        </w:rPr>
        <w:t xml:space="preserve"> of finding and evaluating an ore body are substantial and may take several years to complete.  The Company must overcome many risks associated with an early stage exploration property. Outstanding items to be completed include, but are not limited to, identification and quantification of a commercially viable ore body, confirmation of the Company’s interest in the underlying claims and leases, completion of a feasibility study, funding of all costs related to a commercial operating venture, completion of the permitting process, detailed </w:t>
      </w:r>
      <w:proofErr w:type="gramStart"/>
      <w:r w:rsidRPr="006B3ABC">
        <w:rPr>
          <w:sz w:val="20"/>
        </w:rPr>
        <w:t>engineering</w:t>
      </w:r>
      <w:proofErr w:type="gramEnd"/>
      <w:r w:rsidRPr="006B3ABC">
        <w:rPr>
          <w:sz w:val="20"/>
        </w:rPr>
        <w:t xml:space="preserve"> and the procurement of a processing plant, and constructing a facility to support the property.  Construction and operational risks including, but not limited to, equipment and plant performance, metallurgical, environmental, cost estimation accuracy,</w:t>
      </w:r>
      <w:r w:rsidR="00485004">
        <w:rPr>
          <w:sz w:val="20"/>
        </w:rPr>
        <w:t xml:space="preserve"> </w:t>
      </w:r>
      <w:r w:rsidRPr="006B3ABC">
        <w:rPr>
          <w:sz w:val="20"/>
        </w:rPr>
        <w:t xml:space="preserve">workforce performance and dependability will all affect the profitability of an operating property. </w:t>
      </w:r>
    </w:p>
    <w:p w14:paraId="68989A1A" w14:textId="77777777" w:rsidR="00C60517" w:rsidRDefault="00C60517" w:rsidP="006B3ABC">
      <w:pPr>
        <w:pStyle w:val="BodyText"/>
        <w:jc w:val="both"/>
        <w:rPr>
          <w:sz w:val="20"/>
        </w:rPr>
      </w:pPr>
    </w:p>
    <w:p w14:paraId="6FA1227F" w14:textId="7EA17BDD" w:rsidR="006B3ABC" w:rsidRDefault="006B3ABC" w:rsidP="006B3ABC">
      <w:pPr>
        <w:pStyle w:val="BodyText"/>
        <w:jc w:val="both"/>
        <w:rPr>
          <w:sz w:val="20"/>
        </w:rPr>
      </w:pPr>
      <w:r w:rsidRPr="006B3ABC">
        <w:rPr>
          <w:sz w:val="20"/>
        </w:rPr>
        <w:t xml:space="preserve">External financing, primarily through the issuance of common </w:t>
      </w:r>
      <w:r w:rsidR="000B1B99" w:rsidRPr="006B3ABC">
        <w:rPr>
          <w:sz w:val="20"/>
        </w:rPr>
        <w:t>shares,</w:t>
      </w:r>
      <w:r w:rsidRPr="006B3ABC">
        <w:rPr>
          <w:sz w:val="20"/>
        </w:rPr>
        <w:t xml:space="preserve"> will be required to fund future activities. There can be no assurance that such </w:t>
      </w:r>
      <w:r w:rsidR="000B1B99" w:rsidRPr="006B3ABC">
        <w:rPr>
          <w:sz w:val="20"/>
        </w:rPr>
        <w:t>financing</w:t>
      </w:r>
      <w:r w:rsidRPr="006B3ABC">
        <w:rPr>
          <w:sz w:val="20"/>
        </w:rPr>
        <w:t xml:space="preserve"> will be successful in the future.</w:t>
      </w:r>
    </w:p>
    <w:p w14:paraId="5F1EBBE9" w14:textId="77777777" w:rsidR="00BD6533" w:rsidRDefault="00BD6533" w:rsidP="00AA5596">
      <w:pPr>
        <w:pStyle w:val="headingnotes"/>
        <w:rPr>
          <w:bCs/>
          <w:szCs w:val="24"/>
        </w:rPr>
      </w:pPr>
    </w:p>
    <w:p w14:paraId="2ED58903" w14:textId="39B0B6E7" w:rsidR="00AA5596" w:rsidRPr="00985608" w:rsidRDefault="00AA5596" w:rsidP="00AA5596">
      <w:pPr>
        <w:pStyle w:val="headingnotes"/>
        <w:rPr>
          <w:bCs/>
          <w:szCs w:val="24"/>
        </w:rPr>
      </w:pPr>
      <w:r w:rsidRPr="00985608">
        <w:rPr>
          <w:bCs/>
          <w:szCs w:val="24"/>
        </w:rPr>
        <w:t>Outlook</w:t>
      </w:r>
    </w:p>
    <w:p w14:paraId="50F5FEAC" w14:textId="77777777" w:rsidR="0046408E" w:rsidRPr="00985608" w:rsidRDefault="0046408E" w:rsidP="00D2472A">
      <w:pPr>
        <w:jc w:val="both"/>
      </w:pPr>
    </w:p>
    <w:p w14:paraId="0837EA60" w14:textId="61A329AA" w:rsidR="003347FC" w:rsidRPr="003347FC" w:rsidRDefault="003347FC" w:rsidP="003347FC">
      <w:pPr>
        <w:jc w:val="both"/>
        <w:rPr>
          <w:rFonts w:eastAsiaTheme="minorHAnsi"/>
          <w:lang w:eastAsia="en-CA"/>
        </w:rPr>
      </w:pPr>
      <w:r w:rsidRPr="00985608">
        <w:rPr>
          <w:rFonts w:eastAsiaTheme="minorHAnsi"/>
          <w:lang w:eastAsia="en-CA"/>
        </w:rPr>
        <w:t xml:space="preserve">The Company is focused on delivering value through mineral discoveries by leveraging its highly experienced in-house technical knowledge and to use its two extensive geological databases, which contains a vast treasury of field knowledge spanning decades of research and exploration.  The Company will also at certain times lease or joint venture certain projects. NV Gold plans to </w:t>
      </w:r>
      <w:proofErr w:type="gramStart"/>
      <w:r w:rsidRPr="00985608">
        <w:rPr>
          <w:rFonts w:eastAsiaTheme="minorHAnsi"/>
          <w:lang w:eastAsia="en-CA"/>
        </w:rPr>
        <w:t>also aggressively acquire additional land positions</w:t>
      </w:r>
      <w:proofErr w:type="gramEnd"/>
      <w:r w:rsidRPr="00985608">
        <w:rPr>
          <w:rFonts w:eastAsiaTheme="minorHAnsi"/>
          <w:lang w:eastAsia="en-CA"/>
        </w:rPr>
        <w:t xml:space="preserve"> for the growth of its business.</w:t>
      </w:r>
      <w:r w:rsidRPr="003347FC">
        <w:rPr>
          <w:rFonts w:eastAsiaTheme="minorHAnsi"/>
          <w:lang w:eastAsia="en-CA"/>
        </w:rPr>
        <w:t> </w:t>
      </w:r>
    </w:p>
    <w:p w14:paraId="642708D7" w14:textId="77777777" w:rsidR="00394E2F" w:rsidRDefault="00394E2F" w:rsidP="001043D9">
      <w:pPr>
        <w:autoSpaceDE w:val="0"/>
        <w:autoSpaceDN w:val="0"/>
        <w:adjustRightInd w:val="0"/>
        <w:rPr>
          <w:b/>
          <w:bCs/>
          <w:sz w:val="24"/>
          <w:szCs w:val="24"/>
          <w:lang w:val="en-CA" w:eastAsia="zh-CN"/>
        </w:rPr>
      </w:pPr>
    </w:p>
    <w:p w14:paraId="488B0123" w14:textId="77777777" w:rsidR="001043D9" w:rsidRDefault="001043D9" w:rsidP="001043D9">
      <w:pPr>
        <w:autoSpaceDE w:val="0"/>
        <w:autoSpaceDN w:val="0"/>
        <w:adjustRightInd w:val="0"/>
        <w:rPr>
          <w:b/>
          <w:bCs/>
          <w:sz w:val="24"/>
          <w:szCs w:val="24"/>
          <w:lang w:val="en-CA" w:eastAsia="zh-CN"/>
        </w:rPr>
      </w:pPr>
      <w:r w:rsidRPr="001043D9">
        <w:rPr>
          <w:b/>
          <w:bCs/>
          <w:sz w:val="24"/>
          <w:szCs w:val="24"/>
          <w:lang w:val="en-CA" w:eastAsia="zh-CN"/>
        </w:rPr>
        <w:t>Corporate Governance</w:t>
      </w:r>
    </w:p>
    <w:p w14:paraId="17B77E2C" w14:textId="77777777" w:rsidR="001043D9" w:rsidRPr="001043D9" w:rsidRDefault="001043D9" w:rsidP="001043D9">
      <w:pPr>
        <w:autoSpaceDE w:val="0"/>
        <w:autoSpaceDN w:val="0"/>
        <w:jc w:val="both"/>
        <w:rPr>
          <w:b/>
          <w:bCs/>
          <w:lang w:val="en-CA" w:eastAsia="zh-CN"/>
        </w:rPr>
      </w:pPr>
    </w:p>
    <w:p w14:paraId="75702B62" w14:textId="38AB5656" w:rsidR="00F43A79" w:rsidRDefault="001043D9" w:rsidP="001043D9">
      <w:pPr>
        <w:autoSpaceDE w:val="0"/>
        <w:autoSpaceDN w:val="0"/>
        <w:jc w:val="both"/>
        <w:rPr>
          <w:lang w:val="en-CA" w:eastAsia="zh-CN"/>
        </w:rPr>
      </w:pPr>
      <w:r w:rsidRPr="001043D9">
        <w:rPr>
          <w:lang w:val="en-CA" w:eastAsia="zh-CN"/>
        </w:rPr>
        <w:t>The Company’s Board of Directors follows recommended corporate governance guidelines for public</w:t>
      </w:r>
      <w:r>
        <w:rPr>
          <w:lang w:val="en-CA" w:eastAsia="zh-CN"/>
        </w:rPr>
        <w:t xml:space="preserve"> </w:t>
      </w:r>
      <w:r w:rsidRPr="001043D9">
        <w:rPr>
          <w:lang w:val="en-CA" w:eastAsia="zh-CN"/>
        </w:rPr>
        <w:t>companies to ensure transparency and accountability to shareholders. The Audit Committee of the Company</w:t>
      </w:r>
      <w:r>
        <w:rPr>
          <w:lang w:val="en-CA" w:eastAsia="zh-CN"/>
        </w:rPr>
        <w:t xml:space="preserve"> </w:t>
      </w:r>
      <w:r w:rsidRPr="001043D9">
        <w:rPr>
          <w:lang w:val="en-CA" w:eastAsia="zh-CN"/>
        </w:rPr>
        <w:t>fulfills its role of ensuring the integrity of the reported information through its review of the interim and</w:t>
      </w:r>
      <w:r>
        <w:rPr>
          <w:lang w:val="en-CA" w:eastAsia="zh-CN"/>
        </w:rPr>
        <w:t xml:space="preserve"> </w:t>
      </w:r>
      <w:r w:rsidRPr="001043D9">
        <w:rPr>
          <w:lang w:val="en-CA" w:eastAsia="zh-CN"/>
        </w:rPr>
        <w:t>audited annual financial statements prior to their submission to the Board of Directors for approval. The</w:t>
      </w:r>
      <w:r>
        <w:rPr>
          <w:lang w:val="en-CA" w:eastAsia="zh-CN"/>
        </w:rPr>
        <w:t xml:space="preserve"> </w:t>
      </w:r>
      <w:r w:rsidRPr="001043D9">
        <w:rPr>
          <w:lang w:val="en-CA" w:eastAsia="zh-CN"/>
        </w:rPr>
        <w:t>Audit Committee, comprised of three directors, meets with management of the</w:t>
      </w:r>
      <w:r>
        <w:rPr>
          <w:lang w:val="en-CA" w:eastAsia="zh-CN"/>
        </w:rPr>
        <w:t xml:space="preserve"> </w:t>
      </w:r>
      <w:r w:rsidRPr="001043D9">
        <w:rPr>
          <w:lang w:val="en-CA" w:eastAsia="zh-CN"/>
        </w:rPr>
        <w:t>Company on a quarterly basis to review the financial statements, including the MD&amp;A, and to discuss other</w:t>
      </w:r>
      <w:r>
        <w:rPr>
          <w:lang w:val="en-CA" w:eastAsia="zh-CN"/>
        </w:rPr>
        <w:t xml:space="preserve"> </w:t>
      </w:r>
      <w:r w:rsidRPr="001043D9">
        <w:rPr>
          <w:lang w:val="en-CA" w:eastAsia="zh-CN"/>
        </w:rPr>
        <w:t xml:space="preserve">financial, </w:t>
      </w:r>
      <w:proofErr w:type="gramStart"/>
      <w:r w:rsidRPr="001043D9">
        <w:rPr>
          <w:lang w:val="en-CA" w:eastAsia="zh-CN"/>
        </w:rPr>
        <w:t>operating</w:t>
      </w:r>
      <w:proofErr w:type="gramEnd"/>
      <w:r w:rsidRPr="001043D9">
        <w:rPr>
          <w:lang w:val="en-CA" w:eastAsia="zh-CN"/>
        </w:rPr>
        <w:t xml:space="preserve"> and internal control matters as required.</w:t>
      </w:r>
    </w:p>
    <w:p w14:paraId="7F9F9EC3" w14:textId="77777777" w:rsidR="00143FFA" w:rsidRDefault="00143FFA" w:rsidP="003C2B88">
      <w:pPr>
        <w:jc w:val="both"/>
        <w:rPr>
          <w:b/>
          <w:sz w:val="24"/>
          <w:szCs w:val="24"/>
        </w:rPr>
      </w:pPr>
    </w:p>
    <w:p w14:paraId="299AA26A" w14:textId="77777777" w:rsidR="003C2B88" w:rsidRPr="00912A55" w:rsidRDefault="003C2B88" w:rsidP="003C2B88">
      <w:pPr>
        <w:jc w:val="both"/>
        <w:rPr>
          <w:b/>
          <w:sz w:val="24"/>
          <w:szCs w:val="24"/>
        </w:rPr>
      </w:pPr>
      <w:r w:rsidRPr="00912A55">
        <w:rPr>
          <w:b/>
          <w:sz w:val="24"/>
          <w:szCs w:val="24"/>
        </w:rPr>
        <w:t>Forward-Looking Statements</w:t>
      </w:r>
    </w:p>
    <w:p w14:paraId="2C5594DA" w14:textId="77777777" w:rsidR="003C2B88" w:rsidRDefault="003C2B88" w:rsidP="003C2B88">
      <w:pPr>
        <w:autoSpaceDE w:val="0"/>
        <w:autoSpaceDN w:val="0"/>
        <w:adjustRightInd w:val="0"/>
        <w:jc w:val="both"/>
        <w:rPr>
          <w:lang w:val="en-GB"/>
        </w:rPr>
      </w:pPr>
    </w:p>
    <w:p w14:paraId="6A3C2897" w14:textId="77777777" w:rsidR="003C2B88" w:rsidRDefault="003C2B88" w:rsidP="003C2B88">
      <w:pPr>
        <w:autoSpaceDE w:val="0"/>
        <w:autoSpaceDN w:val="0"/>
        <w:adjustRightInd w:val="0"/>
        <w:jc w:val="both"/>
      </w:pPr>
      <w:r>
        <w:rPr>
          <w:lang w:val="en-GB"/>
        </w:rPr>
        <w:t>Certain information included in this discussion may constitute forward-looking statements.  Readers are cautioned not to put undue reliance on forward-looking statements.</w:t>
      </w:r>
      <w:r>
        <w:t xml:space="preserve"> These statements relate to future events or the Company’s future performance, business prospects or opportunities. All statements other than statements of historical fact may be forward-looking statements. Forward-looking statements are often, but not always, identified by the use of words such as "seek", "anticipate", "plan", "continue", "estimate", "expect", "may", "will", "project", "predict", "potential", "targeting", "intend", "could", "might", "should", "believe" and similar expressions. These forward-looking statements include statements regarding the future price of gold, the timing and amount of estimated future production, costs of production, capital expenditures, the success of exploration activities, permitting time lines, currency fluctuations, the requirements of future capital, drill results and the estimation of mineral resources and reserves. These statements involve known and unknown risks, uncertainties and other factors that may cause actual results or events to differ materially from those anticipated in such forward-looking statements. The Company believes that the expectations reflected in those forward-looking statements are reasonable, but no assurance can be given that these expectations will prove to be correct and such forward-looking statements contained into this report should not be unduly relied upon. These statements speak only as of the date of this report. Actual results and developments are likely to differ, and may differ materially, from those expressed or implied by the forward-looking statements contained in this report. Such statements are based on a number of assumptions which may prove to be incorrect, including, but not limited to, assumptions about:</w:t>
      </w:r>
    </w:p>
    <w:p w14:paraId="20EE07F1" w14:textId="77777777" w:rsidR="003C2B88" w:rsidRDefault="003C2B88" w:rsidP="00D67BCE">
      <w:pPr>
        <w:numPr>
          <w:ilvl w:val="0"/>
          <w:numId w:val="2"/>
        </w:numPr>
        <w:autoSpaceDE w:val="0"/>
        <w:autoSpaceDN w:val="0"/>
        <w:adjustRightInd w:val="0"/>
        <w:jc w:val="both"/>
      </w:pPr>
      <w:r>
        <w:t>general business and economic conditions;</w:t>
      </w:r>
    </w:p>
    <w:p w14:paraId="66B36F48" w14:textId="77777777" w:rsidR="003C2B88" w:rsidRDefault="003C2B88" w:rsidP="00D67BCE">
      <w:pPr>
        <w:numPr>
          <w:ilvl w:val="0"/>
          <w:numId w:val="2"/>
        </w:numPr>
        <w:autoSpaceDE w:val="0"/>
        <w:autoSpaceDN w:val="0"/>
        <w:adjustRightInd w:val="0"/>
        <w:jc w:val="both"/>
      </w:pPr>
      <w:r>
        <w:t>the supply and demand for, deliveries of, and the level and volatility of prices of gold as well as petroleum products;</w:t>
      </w:r>
    </w:p>
    <w:p w14:paraId="0CC108FB" w14:textId="77777777" w:rsidR="003C2B88" w:rsidRDefault="003C2B88" w:rsidP="00D67BCE">
      <w:pPr>
        <w:numPr>
          <w:ilvl w:val="0"/>
          <w:numId w:val="2"/>
        </w:numPr>
        <w:autoSpaceDE w:val="0"/>
        <w:autoSpaceDN w:val="0"/>
        <w:adjustRightInd w:val="0"/>
        <w:jc w:val="both"/>
      </w:pPr>
      <w:r>
        <w:t>the availability of financing for the Company’s development of a project on reasonable terms;</w:t>
      </w:r>
    </w:p>
    <w:p w14:paraId="64824745" w14:textId="77777777" w:rsidR="003C2B88" w:rsidRDefault="003C2B88" w:rsidP="00D67BCE">
      <w:pPr>
        <w:numPr>
          <w:ilvl w:val="0"/>
          <w:numId w:val="2"/>
        </w:numPr>
        <w:autoSpaceDE w:val="0"/>
        <w:autoSpaceDN w:val="0"/>
        <w:adjustRightInd w:val="0"/>
        <w:jc w:val="both"/>
      </w:pPr>
      <w:r>
        <w:t>the ability to procure equipment and operating supplies in sufficient quantities and on a timely basis;</w:t>
      </w:r>
    </w:p>
    <w:p w14:paraId="74F503D8" w14:textId="77777777" w:rsidR="003C2B88" w:rsidRDefault="003C2B88" w:rsidP="00D67BCE">
      <w:pPr>
        <w:numPr>
          <w:ilvl w:val="0"/>
          <w:numId w:val="2"/>
        </w:numPr>
        <w:autoSpaceDE w:val="0"/>
        <w:autoSpaceDN w:val="0"/>
        <w:adjustRightInd w:val="0"/>
        <w:jc w:val="both"/>
      </w:pPr>
      <w:r>
        <w:t>the ability to attract and retain skilled staff;</w:t>
      </w:r>
    </w:p>
    <w:p w14:paraId="76A1773E" w14:textId="77777777" w:rsidR="003C2B88" w:rsidRDefault="003C2B88" w:rsidP="003C2B88">
      <w:pPr>
        <w:jc w:val="both"/>
      </w:pPr>
    </w:p>
    <w:p w14:paraId="1D4C5C17" w14:textId="5B88BFD3" w:rsidR="00D658D7" w:rsidRPr="00F52226" w:rsidRDefault="003C2B88" w:rsidP="006578D2">
      <w:pPr>
        <w:tabs>
          <w:tab w:val="left" w:pos="7250"/>
        </w:tabs>
        <w:jc w:val="both"/>
        <w:rPr>
          <w:sz w:val="18"/>
          <w:szCs w:val="18"/>
          <w:lang w:val="en-CA" w:eastAsia="zh-CN"/>
        </w:rPr>
      </w:pPr>
      <w:r>
        <w:t xml:space="preserve">These forward-looking statements involve risks and uncertainties relating to, among other things, changes in commodity and, particularly, gold prices, access to skilled mining development personnel, results of exploration and development activities, uninsured risks, regulatory changes, defects in title, availability of materials and equipment, timeliness of government approvals, actual performance of facilities, equipment and processes relative to specifications and expectations and </w:t>
      </w:r>
      <w:r>
        <w:lastRenderedPageBreak/>
        <w:t xml:space="preserve">unanticipated environmental impacts on operations. Actual results may differ materially from those expressed or implied by such forward-looking statements. Factors that could cause actual results to differ materially include, but are not limited to, the risk factors hereinabove. Additional risk factors are described in more detail hereinafter. </w:t>
      </w:r>
      <w:r w:rsidRPr="00F52226">
        <w:rPr>
          <w:b/>
          <w:sz w:val="19"/>
          <w:szCs w:val="19"/>
        </w:rPr>
        <w:t xml:space="preserve">Investors should not place undue reliance on forward-looking statements as the plans, </w:t>
      </w:r>
      <w:proofErr w:type="gramStart"/>
      <w:r w:rsidRPr="00F52226">
        <w:rPr>
          <w:b/>
          <w:sz w:val="19"/>
          <w:szCs w:val="19"/>
        </w:rPr>
        <w:t>intentions</w:t>
      </w:r>
      <w:proofErr w:type="gramEnd"/>
      <w:r w:rsidRPr="00F52226">
        <w:rPr>
          <w:b/>
          <w:sz w:val="19"/>
          <w:szCs w:val="19"/>
        </w:rPr>
        <w:t xml:space="preserve"> or expectations upon which they are based might not occur. The Company cautions that the foregoing list of important factors is not exhaustive. Investors and others who base themselves on the Company's forward-looking statements should carefully consider the above factors as well as the uncertainties they represent and the risk they entail.</w:t>
      </w:r>
      <w:r w:rsidRPr="00F52226">
        <w:rPr>
          <w:sz w:val="19"/>
          <w:szCs w:val="19"/>
        </w:rPr>
        <w:t xml:space="preserve"> </w:t>
      </w:r>
      <w:r w:rsidRPr="00F52226">
        <w:rPr>
          <w:b/>
          <w:sz w:val="19"/>
          <w:szCs w:val="19"/>
        </w:rPr>
        <w:t>The forward-looking statements contained in this report are expressly qualified by this cautionary statement.</w:t>
      </w:r>
      <w:r w:rsidR="006578D2" w:rsidRPr="00F52226">
        <w:rPr>
          <w:sz w:val="18"/>
          <w:szCs w:val="18"/>
          <w:lang w:val="en-CA" w:eastAsia="zh-CN"/>
        </w:rPr>
        <w:tab/>
      </w:r>
    </w:p>
    <w:sectPr w:rsidR="00D658D7" w:rsidRPr="00F52226" w:rsidSect="0000225F">
      <w:footerReference w:type="even" r:id="rId11"/>
      <w:footerReference w:type="default" r:id="rId12"/>
      <w:pgSz w:w="12240" w:h="15840" w:code="1"/>
      <w:pgMar w:top="720" w:right="1080" w:bottom="993"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AFD0" w14:textId="77777777" w:rsidR="00BE207B" w:rsidRDefault="00BE207B">
      <w:r>
        <w:separator/>
      </w:r>
    </w:p>
  </w:endnote>
  <w:endnote w:type="continuationSeparator" w:id="0">
    <w:p w14:paraId="24471FE4" w14:textId="77777777" w:rsidR="00BE207B" w:rsidRDefault="00BE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E184" w14:textId="77777777" w:rsidR="00BE207B" w:rsidRDefault="00BE207B" w:rsidP="00EA2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E6B27" w14:textId="77777777" w:rsidR="00BE207B" w:rsidRDefault="00BE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1938" w14:textId="77777777" w:rsidR="00BE207B" w:rsidRDefault="00BE207B" w:rsidP="00EA2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E94">
      <w:rPr>
        <w:rStyle w:val="PageNumber"/>
        <w:noProof/>
      </w:rPr>
      <w:t>1</w:t>
    </w:r>
    <w:r>
      <w:rPr>
        <w:rStyle w:val="PageNumber"/>
      </w:rPr>
      <w:fldChar w:fldCharType="end"/>
    </w:r>
  </w:p>
  <w:p w14:paraId="4D745F2C" w14:textId="77777777" w:rsidR="00BE207B" w:rsidRDefault="00BE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84D1" w14:textId="77777777" w:rsidR="00BE207B" w:rsidRDefault="00BE207B">
      <w:r>
        <w:separator/>
      </w:r>
    </w:p>
  </w:footnote>
  <w:footnote w:type="continuationSeparator" w:id="0">
    <w:p w14:paraId="414FA378" w14:textId="77777777" w:rsidR="00BE207B" w:rsidRDefault="00BE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87"/>
    <w:multiLevelType w:val="hybridMultilevel"/>
    <w:tmpl w:val="4C88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29AB"/>
    <w:multiLevelType w:val="hybridMultilevel"/>
    <w:tmpl w:val="D272DBC8"/>
    <w:lvl w:ilvl="0" w:tplc="FFFFFFFF">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D335C"/>
    <w:multiLevelType w:val="hybridMultilevel"/>
    <w:tmpl w:val="C268AA80"/>
    <w:lvl w:ilvl="0" w:tplc="3DB255B8">
      <w:start w:val="1"/>
      <w:numFmt w:val="lowerRoman"/>
      <w:lvlText w:val="%1)"/>
      <w:lvlJc w:val="left"/>
      <w:pPr>
        <w:tabs>
          <w:tab w:val="num" w:pos="2160"/>
        </w:tabs>
        <w:ind w:left="21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A11130"/>
    <w:multiLevelType w:val="hybridMultilevel"/>
    <w:tmpl w:val="C290830A"/>
    <w:lvl w:ilvl="0" w:tplc="DB3E5574">
      <w:start w:val="1"/>
      <w:numFmt w:val="lowerRoman"/>
      <w:lvlText w:val="%1)"/>
      <w:lvlJc w:val="left"/>
      <w:pPr>
        <w:ind w:left="720" w:hanging="360"/>
      </w:pPr>
      <w:rPr>
        <w:rFonts w:cs="Times New Roman"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920E93"/>
    <w:multiLevelType w:val="hybridMultilevel"/>
    <w:tmpl w:val="8CA40FB4"/>
    <w:lvl w:ilvl="0" w:tplc="265E42FA">
      <w:start w:val="3"/>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D232E3"/>
    <w:multiLevelType w:val="hybridMultilevel"/>
    <w:tmpl w:val="89B45D16"/>
    <w:lvl w:ilvl="0" w:tplc="DB3E5574">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DA29A3"/>
    <w:multiLevelType w:val="hybridMultilevel"/>
    <w:tmpl w:val="D272DBC8"/>
    <w:lvl w:ilvl="0" w:tplc="B1467074">
      <w:start w:val="1"/>
      <w:numFmt w:val="decimal"/>
      <w:lvlText w:val="%1."/>
      <w:lvlJc w:val="left"/>
      <w:pPr>
        <w:ind w:left="720" w:hanging="360"/>
      </w:pPr>
      <w:rPr>
        <w:b w:val="0"/>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BD5781"/>
    <w:multiLevelType w:val="hybridMultilevel"/>
    <w:tmpl w:val="8E688F0E"/>
    <w:lvl w:ilvl="0" w:tplc="473C5482">
      <w:start w:val="2"/>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3E0685"/>
    <w:multiLevelType w:val="hybridMultilevel"/>
    <w:tmpl w:val="5C8CBCD4"/>
    <w:lvl w:ilvl="0" w:tplc="B1467074">
      <w:start w:val="1"/>
      <w:numFmt w:val="decimal"/>
      <w:lvlText w:val="%1."/>
      <w:lvlJc w:val="left"/>
      <w:pPr>
        <w:ind w:left="720" w:hanging="360"/>
      </w:pPr>
      <w:rPr>
        <w:b w:val="0"/>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385CA7"/>
    <w:multiLevelType w:val="hybridMultilevel"/>
    <w:tmpl w:val="F7F28378"/>
    <w:lvl w:ilvl="0" w:tplc="FFFFFFFF">
      <w:start w:val="1"/>
      <w:numFmt w:val="decimal"/>
      <w:lvlText w:val="%1."/>
      <w:lvlJc w:val="left"/>
      <w:pPr>
        <w:ind w:left="1440" w:hanging="360"/>
      </w:pPr>
      <w:rPr>
        <w:rFonts w:hint="default"/>
        <w:b w:val="0"/>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84C7B11"/>
    <w:multiLevelType w:val="hybridMultilevel"/>
    <w:tmpl w:val="2560566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3AAB7ED2"/>
    <w:multiLevelType w:val="hybridMultilevel"/>
    <w:tmpl w:val="3CF86D84"/>
    <w:lvl w:ilvl="0" w:tplc="CA98DC0A">
      <w:start w:val="3"/>
      <w:numFmt w:val="lowerRoman"/>
      <w:lvlText w:val="%1)"/>
      <w:lvlJc w:val="left"/>
      <w:pPr>
        <w:ind w:left="1494"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DF2BBA"/>
    <w:multiLevelType w:val="hybridMultilevel"/>
    <w:tmpl w:val="609CA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E33532"/>
    <w:multiLevelType w:val="multilevel"/>
    <w:tmpl w:val="E3BC55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D8A2370"/>
    <w:multiLevelType w:val="hybridMultilevel"/>
    <w:tmpl w:val="F7F28378"/>
    <w:lvl w:ilvl="0" w:tplc="132E312A">
      <w:start w:val="1"/>
      <w:numFmt w:val="decimal"/>
      <w:lvlText w:val="%1."/>
      <w:lvlJc w:val="left"/>
      <w:pPr>
        <w:ind w:left="1440" w:hanging="360"/>
      </w:pPr>
      <w:rPr>
        <w:rFonts w:hint="default"/>
        <w:b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B014D4"/>
    <w:multiLevelType w:val="hybridMultilevel"/>
    <w:tmpl w:val="1B7CE714"/>
    <w:lvl w:ilvl="0" w:tplc="C84A3F7A">
      <w:start w:val="1"/>
      <w:numFmt w:val="bullet"/>
      <w:lvlText w:val=""/>
      <w:lvlJc w:val="left"/>
      <w:pPr>
        <w:tabs>
          <w:tab w:val="num" w:pos="3763"/>
        </w:tabs>
        <w:ind w:left="3763" w:hanging="360"/>
      </w:pPr>
      <w:rPr>
        <w:rFonts w:ascii="Wingdings" w:hAnsi="Wingdings" w:hint="default"/>
      </w:rPr>
    </w:lvl>
    <w:lvl w:ilvl="1" w:tplc="04090003">
      <w:start w:val="1"/>
      <w:numFmt w:val="bullet"/>
      <w:lvlText w:val="o"/>
      <w:lvlJc w:val="left"/>
      <w:pPr>
        <w:tabs>
          <w:tab w:val="num" w:pos="1487"/>
        </w:tabs>
        <w:ind w:left="1487" w:hanging="360"/>
      </w:pPr>
      <w:rPr>
        <w:rFonts w:ascii="Courier New" w:hAnsi="Courier New" w:cs="Courier New" w:hint="default"/>
      </w:rPr>
    </w:lvl>
    <w:lvl w:ilvl="2" w:tplc="04090005">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6" w15:restartNumberingAfterBreak="0">
    <w:nsid w:val="42EE6988"/>
    <w:multiLevelType w:val="hybridMultilevel"/>
    <w:tmpl w:val="66901836"/>
    <w:lvl w:ilvl="0" w:tplc="3F4A740C">
      <w:start w:val="1"/>
      <w:numFmt w:val="lowerRoman"/>
      <w:lvlText w:val="%1)"/>
      <w:lvlJc w:val="left"/>
      <w:pPr>
        <w:tabs>
          <w:tab w:val="num" w:pos="1440"/>
        </w:tabs>
        <w:ind w:left="1440" w:hanging="360"/>
      </w:pPr>
      <w:rPr>
        <w:rFonts w:cs="Times New Roman" w:hint="default"/>
      </w:rPr>
    </w:lvl>
    <w:lvl w:ilvl="1" w:tplc="398E522C">
      <w:start w:val="1"/>
      <w:numFmt w:val="lowerRoman"/>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67308F"/>
    <w:multiLevelType w:val="hybridMultilevel"/>
    <w:tmpl w:val="2D5C7594"/>
    <w:lvl w:ilvl="0" w:tplc="A7DC417C">
      <w:start w:val="3"/>
      <w:numFmt w:val="lowerRoman"/>
      <w:lvlText w:val="%1)"/>
      <w:lvlJc w:val="left"/>
      <w:pPr>
        <w:ind w:left="21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27003E"/>
    <w:multiLevelType w:val="hybridMultilevel"/>
    <w:tmpl w:val="F8B26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8B5D3C"/>
    <w:multiLevelType w:val="hybridMultilevel"/>
    <w:tmpl w:val="319E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967B46"/>
    <w:multiLevelType w:val="hybridMultilevel"/>
    <w:tmpl w:val="21A04D0C"/>
    <w:lvl w:ilvl="0" w:tplc="398E522C">
      <w:start w:val="1"/>
      <w:numFmt w:val="lowerRoman"/>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5F0755"/>
    <w:multiLevelType w:val="hybridMultilevel"/>
    <w:tmpl w:val="C3EA8736"/>
    <w:lvl w:ilvl="0" w:tplc="A762D5FE">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0D752A8"/>
    <w:multiLevelType w:val="hybridMultilevel"/>
    <w:tmpl w:val="32EA96BC"/>
    <w:lvl w:ilvl="0" w:tplc="DB3E5574">
      <w:start w:val="1"/>
      <w:numFmt w:val="lowerRoman"/>
      <w:lvlText w:val="%1)"/>
      <w:lvlJc w:val="left"/>
      <w:pPr>
        <w:ind w:left="108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38350C"/>
    <w:multiLevelType w:val="hybridMultilevel"/>
    <w:tmpl w:val="64CE9724"/>
    <w:lvl w:ilvl="0" w:tplc="DB3E5574">
      <w:start w:val="1"/>
      <w:numFmt w:val="lowerRoman"/>
      <w:lvlText w:val="%1)"/>
      <w:lvlJc w:val="left"/>
      <w:pPr>
        <w:tabs>
          <w:tab w:val="num" w:pos="3240"/>
        </w:tabs>
        <w:ind w:left="3240" w:hanging="720"/>
      </w:pPr>
      <w:rPr>
        <w:rFonts w:cs="Times New Roman" w:hint="default"/>
      </w:rPr>
    </w:lvl>
    <w:lvl w:ilvl="1" w:tplc="3DB255B8">
      <w:start w:val="1"/>
      <w:numFmt w:val="lowerRoman"/>
      <w:lvlText w:val="%2)"/>
      <w:lvlJc w:val="left"/>
      <w:pPr>
        <w:tabs>
          <w:tab w:val="num" w:pos="2160"/>
        </w:tabs>
        <w:ind w:left="2160" w:hanging="360"/>
      </w:pPr>
      <w:rPr>
        <w:rFonts w:cs="Times New Roman" w:hint="default"/>
      </w:rPr>
    </w:lvl>
    <w:lvl w:ilvl="2" w:tplc="6CE02BA4">
      <w:start w:val="9"/>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560807D4">
      <w:start w:val="1"/>
      <w:numFmt w:val="decimal"/>
      <w:lvlText w:val="%6)"/>
      <w:lvlJc w:val="left"/>
      <w:pPr>
        <w:tabs>
          <w:tab w:val="num" w:pos="5040"/>
        </w:tabs>
        <w:ind w:left="5040" w:hanging="180"/>
      </w:pPr>
      <w:rPr>
        <w:rFonts w:hint="default"/>
        <w:b w:val="0"/>
        <w:sz w:val="20"/>
        <w:szCs w:val="20"/>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69787076"/>
    <w:multiLevelType w:val="hybridMultilevel"/>
    <w:tmpl w:val="8B5E121A"/>
    <w:lvl w:ilvl="0" w:tplc="AA9806C4">
      <w:start w:val="1"/>
      <w:numFmt w:val="lowerRoman"/>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A0B94"/>
    <w:multiLevelType w:val="hybridMultilevel"/>
    <w:tmpl w:val="C8004E12"/>
    <w:lvl w:ilvl="0" w:tplc="F5E4D0AC">
      <w:start w:val="2"/>
      <w:numFmt w:val="lowerRoman"/>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4E6422"/>
    <w:multiLevelType w:val="hybridMultilevel"/>
    <w:tmpl w:val="76C4A6CE"/>
    <w:lvl w:ilvl="0" w:tplc="398E522C">
      <w:start w:val="1"/>
      <w:numFmt w:val="lowerRoman"/>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FA41E6"/>
    <w:multiLevelType w:val="hybridMultilevel"/>
    <w:tmpl w:val="8146FEF6"/>
    <w:lvl w:ilvl="0" w:tplc="1448747C">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4A0587"/>
    <w:multiLevelType w:val="hybridMultilevel"/>
    <w:tmpl w:val="856AAC4A"/>
    <w:lvl w:ilvl="0" w:tplc="398E522C">
      <w:start w:val="1"/>
      <w:numFmt w:val="lowerRoman"/>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97F4C51"/>
    <w:multiLevelType w:val="hybridMultilevel"/>
    <w:tmpl w:val="ABB83E20"/>
    <w:lvl w:ilvl="0" w:tplc="DA161ED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812029"/>
    <w:multiLevelType w:val="hybridMultilevel"/>
    <w:tmpl w:val="0E10E65A"/>
    <w:lvl w:ilvl="0" w:tplc="B958FC20">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8897956">
    <w:abstractNumId w:val="15"/>
  </w:num>
  <w:num w:numId="2" w16cid:durableId="44378800">
    <w:abstractNumId w:val="0"/>
  </w:num>
  <w:num w:numId="3" w16cid:durableId="1603341258">
    <w:abstractNumId w:val="24"/>
  </w:num>
  <w:num w:numId="4" w16cid:durableId="1569000479">
    <w:abstractNumId w:val="23"/>
  </w:num>
  <w:num w:numId="5" w16cid:durableId="167837812">
    <w:abstractNumId w:val="2"/>
  </w:num>
  <w:num w:numId="6" w16cid:durableId="1303000199">
    <w:abstractNumId w:val="13"/>
  </w:num>
  <w:num w:numId="7" w16cid:durableId="1564752951">
    <w:abstractNumId w:val="30"/>
  </w:num>
  <w:num w:numId="8" w16cid:durableId="960500899">
    <w:abstractNumId w:val="14"/>
  </w:num>
  <w:num w:numId="9" w16cid:durableId="1128596035">
    <w:abstractNumId w:val="25"/>
  </w:num>
  <w:num w:numId="10" w16cid:durableId="1794784222">
    <w:abstractNumId w:val="16"/>
  </w:num>
  <w:num w:numId="11" w16cid:durableId="1843205775">
    <w:abstractNumId w:val="28"/>
  </w:num>
  <w:num w:numId="12" w16cid:durableId="440684718">
    <w:abstractNumId w:val="20"/>
  </w:num>
  <w:num w:numId="13" w16cid:durableId="916398187">
    <w:abstractNumId w:val="17"/>
  </w:num>
  <w:num w:numId="14" w16cid:durableId="261692245">
    <w:abstractNumId w:val="9"/>
  </w:num>
  <w:num w:numId="15" w16cid:durableId="1357270290">
    <w:abstractNumId w:val="26"/>
  </w:num>
  <w:num w:numId="16" w16cid:durableId="873814271">
    <w:abstractNumId w:val="29"/>
  </w:num>
  <w:num w:numId="17" w16cid:durableId="1247156993">
    <w:abstractNumId w:val="22"/>
  </w:num>
  <w:num w:numId="18" w16cid:durableId="1539703518">
    <w:abstractNumId w:val="8"/>
  </w:num>
  <w:num w:numId="19" w16cid:durableId="2046711210">
    <w:abstractNumId w:val="4"/>
  </w:num>
  <w:num w:numId="20" w16cid:durableId="794907063">
    <w:abstractNumId w:val="7"/>
  </w:num>
  <w:num w:numId="21" w16cid:durableId="650522978">
    <w:abstractNumId w:val="18"/>
  </w:num>
  <w:num w:numId="22" w16cid:durableId="427508392">
    <w:abstractNumId w:val="21"/>
  </w:num>
  <w:num w:numId="23" w16cid:durableId="1036933382">
    <w:abstractNumId w:val="27"/>
  </w:num>
  <w:num w:numId="24" w16cid:durableId="1320884684">
    <w:abstractNumId w:val="19"/>
  </w:num>
  <w:num w:numId="25" w16cid:durableId="1932346964">
    <w:abstractNumId w:val="12"/>
  </w:num>
  <w:num w:numId="26" w16cid:durableId="307631820">
    <w:abstractNumId w:val="11"/>
  </w:num>
  <w:num w:numId="27" w16cid:durableId="955596758">
    <w:abstractNumId w:val="6"/>
  </w:num>
  <w:num w:numId="28" w16cid:durableId="990715813">
    <w:abstractNumId w:val="10"/>
  </w:num>
  <w:num w:numId="29" w16cid:durableId="1969242758">
    <w:abstractNumId w:val="5"/>
  </w:num>
  <w:num w:numId="30" w16cid:durableId="945430640">
    <w:abstractNumId w:val="1"/>
  </w:num>
  <w:num w:numId="31" w16cid:durableId="16961276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39"/>
    <w:rsid w:val="00000AE7"/>
    <w:rsid w:val="0000225F"/>
    <w:rsid w:val="00003CBA"/>
    <w:rsid w:val="000046E3"/>
    <w:rsid w:val="000049DE"/>
    <w:rsid w:val="00005661"/>
    <w:rsid w:val="000074D1"/>
    <w:rsid w:val="00007A4E"/>
    <w:rsid w:val="00007DC2"/>
    <w:rsid w:val="00010798"/>
    <w:rsid w:val="00010B09"/>
    <w:rsid w:val="00011210"/>
    <w:rsid w:val="0001265D"/>
    <w:rsid w:val="000128E3"/>
    <w:rsid w:val="00012DE1"/>
    <w:rsid w:val="00013861"/>
    <w:rsid w:val="00015109"/>
    <w:rsid w:val="00015D1E"/>
    <w:rsid w:val="000165C4"/>
    <w:rsid w:val="000167E7"/>
    <w:rsid w:val="00016FF9"/>
    <w:rsid w:val="0002012D"/>
    <w:rsid w:val="00021909"/>
    <w:rsid w:val="00021935"/>
    <w:rsid w:val="00021CD9"/>
    <w:rsid w:val="0003066C"/>
    <w:rsid w:val="00030D99"/>
    <w:rsid w:val="000314F0"/>
    <w:rsid w:val="000325A9"/>
    <w:rsid w:val="00034798"/>
    <w:rsid w:val="00035BF3"/>
    <w:rsid w:val="00036EAA"/>
    <w:rsid w:val="000370AB"/>
    <w:rsid w:val="00037BBE"/>
    <w:rsid w:val="00037FF4"/>
    <w:rsid w:val="00041284"/>
    <w:rsid w:val="000416F4"/>
    <w:rsid w:val="00041EFF"/>
    <w:rsid w:val="000432F7"/>
    <w:rsid w:val="0004391A"/>
    <w:rsid w:val="00043D29"/>
    <w:rsid w:val="00046C69"/>
    <w:rsid w:val="00046D93"/>
    <w:rsid w:val="000509CA"/>
    <w:rsid w:val="00050A36"/>
    <w:rsid w:val="00050C59"/>
    <w:rsid w:val="000514DE"/>
    <w:rsid w:val="000532AC"/>
    <w:rsid w:val="00053B4F"/>
    <w:rsid w:val="00053F35"/>
    <w:rsid w:val="0005445B"/>
    <w:rsid w:val="00057C25"/>
    <w:rsid w:val="00060EBE"/>
    <w:rsid w:val="000619C6"/>
    <w:rsid w:val="00061BED"/>
    <w:rsid w:val="00062AC8"/>
    <w:rsid w:val="00062B8D"/>
    <w:rsid w:val="00062C45"/>
    <w:rsid w:val="00062F12"/>
    <w:rsid w:val="00063780"/>
    <w:rsid w:val="00065C48"/>
    <w:rsid w:val="0006616E"/>
    <w:rsid w:val="00066FD0"/>
    <w:rsid w:val="000670F4"/>
    <w:rsid w:val="0006729F"/>
    <w:rsid w:val="00070069"/>
    <w:rsid w:val="00070178"/>
    <w:rsid w:val="000704DB"/>
    <w:rsid w:val="000718C4"/>
    <w:rsid w:val="00071EED"/>
    <w:rsid w:val="00072157"/>
    <w:rsid w:val="00073106"/>
    <w:rsid w:val="00074AED"/>
    <w:rsid w:val="0007502B"/>
    <w:rsid w:val="000764E9"/>
    <w:rsid w:val="0007675F"/>
    <w:rsid w:val="0007697D"/>
    <w:rsid w:val="00076C39"/>
    <w:rsid w:val="00076D55"/>
    <w:rsid w:val="00082118"/>
    <w:rsid w:val="00085139"/>
    <w:rsid w:val="0008591A"/>
    <w:rsid w:val="00085951"/>
    <w:rsid w:val="0008685B"/>
    <w:rsid w:val="00086E6C"/>
    <w:rsid w:val="00087576"/>
    <w:rsid w:val="000879FF"/>
    <w:rsid w:val="00087D80"/>
    <w:rsid w:val="00090634"/>
    <w:rsid w:val="00093CE4"/>
    <w:rsid w:val="000941BF"/>
    <w:rsid w:val="00095918"/>
    <w:rsid w:val="00097766"/>
    <w:rsid w:val="000979B6"/>
    <w:rsid w:val="000A1747"/>
    <w:rsid w:val="000A2453"/>
    <w:rsid w:val="000A3971"/>
    <w:rsid w:val="000A5DF9"/>
    <w:rsid w:val="000A63EA"/>
    <w:rsid w:val="000A77A5"/>
    <w:rsid w:val="000B026A"/>
    <w:rsid w:val="000B07F0"/>
    <w:rsid w:val="000B0929"/>
    <w:rsid w:val="000B1A01"/>
    <w:rsid w:val="000B1ABB"/>
    <w:rsid w:val="000B1B99"/>
    <w:rsid w:val="000B2390"/>
    <w:rsid w:val="000B270B"/>
    <w:rsid w:val="000B5476"/>
    <w:rsid w:val="000B5C8B"/>
    <w:rsid w:val="000B77CA"/>
    <w:rsid w:val="000B7EEE"/>
    <w:rsid w:val="000C001F"/>
    <w:rsid w:val="000C03DB"/>
    <w:rsid w:val="000C0967"/>
    <w:rsid w:val="000C21D9"/>
    <w:rsid w:val="000C3664"/>
    <w:rsid w:val="000C73C2"/>
    <w:rsid w:val="000D05EF"/>
    <w:rsid w:val="000D21A3"/>
    <w:rsid w:val="000D28C1"/>
    <w:rsid w:val="000D3121"/>
    <w:rsid w:val="000D3EBB"/>
    <w:rsid w:val="000D4167"/>
    <w:rsid w:val="000D6400"/>
    <w:rsid w:val="000D78C0"/>
    <w:rsid w:val="000E13C9"/>
    <w:rsid w:val="000E1672"/>
    <w:rsid w:val="000E1BBF"/>
    <w:rsid w:val="000E5288"/>
    <w:rsid w:val="000E72A8"/>
    <w:rsid w:val="000E79FC"/>
    <w:rsid w:val="000F15A9"/>
    <w:rsid w:val="000F15B6"/>
    <w:rsid w:val="000F1873"/>
    <w:rsid w:val="000F44EC"/>
    <w:rsid w:val="000F4711"/>
    <w:rsid w:val="000F53EF"/>
    <w:rsid w:val="000F663F"/>
    <w:rsid w:val="0010062C"/>
    <w:rsid w:val="00100BA2"/>
    <w:rsid w:val="00101146"/>
    <w:rsid w:val="001043D9"/>
    <w:rsid w:val="001055D3"/>
    <w:rsid w:val="0010573B"/>
    <w:rsid w:val="001057E1"/>
    <w:rsid w:val="00105D25"/>
    <w:rsid w:val="00106E6C"/>
    <w:rsid w:val="00107A0E"/>
    <w:rsid w:val="00111599"/>
    <w:rsid w:val="0011186D"/>
    <w:rsid w:val="00111B3C"/>
    <w:rsid w:val="0011243C"/>
    <w:rsid w:val="00112FF9"/>
    <w:rsid w:val="00113762"/>
    <w:rsid w:val="00113A07"/>
    <w:rsid w:val="0011499B"/>
    <w:rsid w:val="00114A90"/>
    <w:rsid w:val="0011549B"/>
    <w:rsid w:val="001168EB"/>
    <w:rsid w:val="00121148"/>
    <w:rsid w:val="00122160"/>
    <w:rsid w:val="00122A95"/>
    <w:rsid w:val="00122C25"/>
    <w:rsid w:val="00124477"/>
    <w:rsid w:val="00124BC1"/>
    <w:rsid w:val="001250EF"/>
    <w:rsid w:val="001250F0"/>
    <w:rsid w:val="00125143"/>
    <w:rsid w:val="00125A57"/>
    <w:rsid w:val="00126990"/>
    <w:rsid w:val="00126D15"/>
    <w:rsid w:val="0012726D"/>
    <w:rsid w:val="001279F3"/>
    <w:rsid w:val="00130029"/>
    <w:rsid w:val="00131A84"/>
    <w:rsid w:val="00131C70"/>
    <w:rsid w:val="00133D35"/>
    <w:rsid w:val="0013494D"/>
    <w:rsid w:val="001350A3"/>
    <w:rsid w:val="00135B4A"/>
    <w:rsid w:val="00135EBE"/>
    <w:rsid w:val="0013624C"/>
    <w:rsid w:val="0013796F"/>
    <w:rsid w:val="001405AD"/>
    <w:rsid w:val="001410BD"/>
    <w:rsid w:val="001430BE"/>
    <w:rsid w:val="001430C4"/>
    <w:rsid w:val="00143176"/>
    <w:rsid w:val="001437BE"/>
    <w:rsid w:val="00143FFA"/>
    <w:rsid w:val="00144504"/>
    <w:rsid w:val="00146449"/>
    <w:rsid w:val="00146698"/>
    <w:rsid w:val="00147236"/>
    <w:rsid w:val="001479D5"/>
    <w:rsid w:val="001500F8"/>
    <w:rsid w:val="00150318"/>
    <w:rsid w:val="00151502"/>
    <w:rsid w:val="00151E33"/>
    <w:rsid w:val="001528D3"/>
    <w:rsid w:val="00152ACF"/>
    <w:rsid w:val="001532B7"/>
    <w:rsid w:val="00154845"/>
    <w:rsid w:val="00155AE2"/>
    <w:rsid w:val="00155CFE"/>
    <w:rsid w:val="0015602C"/>
    <w:rsid w:val="00156528"/>
    <w:rsid w:val="00160B93"/>
    <w:rsid w:val="00162CC2"/>
    <w:rsid w:val="0016398A"/>
    <w:rsid w:val="00163BD4"/>
    <w:rsid w:val="00164005"/>
    <w:rsid w:val="00164A26"/>
    <w:rsid w:val="00165389"/>
    <w:rsid w:val="00166045"/>
    <w:rsid w:val="001664DF"/>
    <w:rsid w:val="00171206"/>
    <w:rsid w:val="00172682"/>
    <w:rsid w:val="00172F2B"/>
    <w:rsid w:val="00174F4A"/>
    <w:rsid w:val="00177ED0"/>
    <w:rsid w:val="00181D2E"/>
    <w:rsid w:val="00182E3E"/>
    <w:rsid w:val="00184719"/>
    <w:rsid w:val="00184CFD"/>
    <w:rsid w:val="00186552"/>
    <w:rsid w:val="0018663D"/>
    <w:rsid w:val="00186904"/>
    <w:rsid w:val="0018799C"/>
    <w:rsid w:val="00187BBC"/>
    <w:rsid w:val="001903AE"/>
    <w:rsid w:val="00192F58"/>
    <w:rsid w:val="001943DD"/>
    <w:rsid w:val="00195975"/>
    <w:rsid w:val="001961AE"/>
    <w:rsid w:val="0019707A"/>
    <w:rsid w:val="001A060E"/>
    <w:rsid w:val="001A0D9E"/>
    <w:rsid w:val="001A173F"/>
    <w:rsid w:val="001A290B"/>
    <w:rsid w:val="001A33A4"/>
    <w:rsid w:val="001A58E2"/>
    <w:rsid w:val="001A746A"/>
    <w:rsid w:val="001A7D10"/>
    <w:rsid w:val="001A7FAB"/>
    <w:rsid w:val="001B038B"/>
    <w:rsid w:val="001B1146"/>
    <w:rsid w:val="001B1FF8"/>
    <w:rsid w:val="001B2442"/>
    <w:rsid w:val="001B4168"/>
    <w:rsid w:val="001B49CC"/>
    <w:rsid w:val="001B5669"/>
    <w:rsid w:val="001B5893"/>
    <w:rsid w:val="001B593F"/>
    <w:rsid w:val="001B6C8C"/>
    <w:rsid w:val="001B73DB"/>
    <w:rsid w:val="001B7B47"/>
    <w:rsid w:val="001C1304"/>
    <w:rsid w:val="001C1669"/>
    <w:rsid w:val="001C2967"/>
    <w:rsid w:val="001C5CF0"/>
    <w:rsid w:val="001C67DA"/>
    <w:rsid w:val="001C70AD"/>
    <w:rsid w:val="001D04FC"/>
    <w:rsid w:val="001D0E06"/>
    <w:rsid w:val="001D14BA"/>
    <w:rsid w:val="001D1D33"/>
    <w:rsid w:val="001D207D"/>
    <w:rsid w:val="001D37D6"/>
    <w:rsid w:val="001D3ECF"/>
    <w:rsid w:val="001D4A10"/>
    <w:rsid w:val="001D5226"/>
    <w:rsid w:val="001D5D93"/>
    <w:rsid w:val="001D7B2F"/>
    <w:rsid w:val="001D7C0D"/>
    <w:rsid w:val="001D7C3D"/>
    <w:rsid w:val="001E06AF"/>
    <w:rsid w:val="001E0702"/>
    <w:rsid w:val="001E0CCF"/>
    <w:rsid w:val="001E166E"/>
    <w:rsid w:val="001E2BE0"/>
    <w:rsid w:val="001E39F3"/>
    <w:rsid w:val="001E4D12"/>
    <w:rsid w:val="001E5F43"/>
    <w:rsid w:val="001E7E57"/>
    <w:rsid w:val="001F0012"/>
    <w:rsid w:val="001F2916"/>
    <w:rsid w:val="001F38EE"/>
    <w:rsid w:val="001F4FEC"/>
    <w:rsid w:val="001F5A41"/>
    <w:rsid w:val="002017D5"/>
    <w:rsid w:val="00201814"/>
    <w:rsid w:val="00201E5F"/>
    <w:rsid w:val="0020231F"/>
    <w:rsid w:val="0020255B"/>
    <w:rsid w:val="00202BC0"/>
    <w:rsid w:val="00203AAF"/>
    <w:rsid w:val="00203B91"/>
    <w:rsid w:val="0020754A"/>
    <w:rsid w:val="00207568"/>
    <w:rsid w:val="00210513"/>
    <w:rsid w:val="002107E3"/>
    <w:rsid w:val="0021150F"/>
    <w:rsid w:val="00211BAF"/>
    <w:rsid w:val="0021603C"/>
    <w:rsid w:val="0021781F"/>
    <w:rsid w:val="00217E70"/>
    <w:rsid w:val="00220046"/>
    <w:rsid w:val="00221626"/>
    <w:rsid w:val="0022168B"/>
    <w:rsid w:val="00221D4F"/>
    <w:rsid w:val="0022309A"/>
    <w:rsid w:val="00225DBD"/>
    <w:rsid w:val="002269A4"/>
    <w:rsid w:val="00227EA6"/>
    <w:rsid w:val="00231C9D"/>
    <w:rsid w:val="0023205B"/>
    <w:rsid w:val="00240600"/>
    <w:rsid w:val="00241478"/>
    <w:rsid w:val="002414DB"/>
    <w:rsid w:val="002429B4"/>
    <w:rsid w:val="00243EA0"/>
    <w:rsid w:val="002440FF"/>
    <w:rsid w:val="00244106"/>
    <w:rsid w:val="00244B13"/>
    <w:rsid w:val="00244B61"/>
    <w:rsid w:val="00244D49"/>
    <w:rsid w:val="00246251"/>
    <w:rsid w:val="002462AB"/>
    <w:rsid w:val="00246999"/>
    <w:rsid w:val="00246C96"/>
    <w:rsid w:val="00246DA8"/>
    <w:rsid w:val="0024798C"/>
    <w:rsid w:val="00250E07"/>
    <w:rsid w:val="002510E3"/>
    <w:rsid w:val="00251EF8"/>
    <w:rsid w:val="00252085"/>
    <w:rsid w:val="00252348"/>
    <w:rsid w:val="002523AC"/>
    <w:rsid w:val="0025298D"/>
    <w:rsid w:val="00254466"/>
    <w:rsid w:val="00254973"/>
    <w:rsid w:val="00254BD4"/>
    <w:rsid w:val="002558D4"/>
    <w:rsid w:val="0025664C"/>
    <w:rsid w:val="00256F13"/>
    <w:rsid w:val="00257668"/>
    <w:rsid w:val="00257FFC"/>
    <w:rsid w:val="002616B1"/>
    <w:rsid w:val="00261E7F"/>
    <w:rsid w:val="002629E2"/>
    <w:rsid w:val="002639F9"/>
    <w:rsid w:val="00264C59"/>
    <w:rsid w:val="002660DC"/>
    <w:rsid w:val="002666F4"/>
    <w:rsid w:val="00266CDD"/>
    <w:rsid w:val="002670E4"/>
    <w:rsid w:val="00267AC5"/>
    <w:rsid w:val="00272DCF"/>
    <w:rsid w:val="0027455C"/>
    <w:rsid w:val="00274762"/>
    <w:rsid w:val="002755A6"/>
    <w:rsid w:val="00275F1B"/>
    <w:rsid w:val="00276864"/>
    <w:rsid w:val="002770B3"/>
    <w:rsid w:val="0027782C"/>
    <w:rsid w:val="00277B2E"/>
    <w:rsid w:val="002816DB"/>
    <w:rsid w:val="00281C96"/>
    <w:rsid w:val="0028344C"/>
    <w:rsid w:val="002847F8"/>
    <w:rsid w:val="00285AB8"/>
    <w:rsid w:val="00285D3A"/>
    <w:rsid w:val="002863F6"/>
    <w:rsid w:val="00286956"/>
    <w:rsid w:val="00287399"/>
    <w:rsid w:val="00290418"/>
    <w:rsid w:val="002904A2"/>
    <w:rsid w:val="00290E90"/>
    <w:rsid w:val="00291267"/>
    <w:rsid w:val="00291A65"/>
    <w:rsid w:val="00293120"/>
    <w:rsid w:val="002934E1"/>
    <w:rsid w:val="002965E5"/>
    <w:rsid w:val="0029767C"/>
    <w:rsid w:val="002A0794"/>
    <w:rsid w:val="002A10B2"/>
    <w:rsid w:val="002A155D"/>
    <w:rsid w:val="002A200D"/>
    <w:rsid w:val="002A25A2"/>
    <w:rsid w:val="002A2FE9"/>
    <w:rsid w:val="002A3401"/>
    <w:rsid w:val="002A3DE1"/>
    <w:rsid w:val="002A61AC"/>
    <w:rsid w:val="002A64DE"/>
    <w:rsid w:val="002A73F4"/>
    <w:rsid w:val="002A78AC"/>
    <w:rsid w:val="002A7D31"/>
    <w:rsid w:val="002B0432"/>
    <w:rsid w:val="002B216F"/>
    <w:rsid w:val="002B32A8"/>
    <w:rsid w:val="002B34BD"/>
    <w:rsid w:val="002B35AA"/>
    <w:rsid w:val="002B50D6"/>
    <w:rsid w:val="002B57B0"/>
    <w:rsid w:val="002B6680"/>
    <w:rsid w:val="002B6C5B"/>
    <w:rsid w:val="002B7684"/>
    <w:rsid w:val="002B7820"/>
    <w:rsid w:val="002B7B82"/>
    <w:rsid w:val="002C22B7"/>
    <w:rsid w:val="002C4A02"/>
    <w:rsid w:val="002C4EA3"/>
    <w:rsid w:val="002C4F4B"/>
    <w:rsid w:val="002C63F9"/>
    <w:rsid w:val="002C66AD"/>
    <w:rsid w:val="002D0FA5"/>
    <w:rsid w:val="002D48D3"/>
    <w:rsid w:val="002D519D"/>
    <w:rsid w:val="002D56EF"/>
    <w:rsid w:val="002D62C4"/>
    <w:rsid w:val="002D7056"/>
    <w:rsid w:val="002D740C"/>
    <w:rsid w:val="002D7834"/>
    <w:rsid w:val="002D7D6A"/>
    <w:rsid w:val="002E1AC6"/>
    <w:rsid w:val="002E1B08"/>
    <w:rsid w:val="002E1E37"/>
    <w:rsid w:val="002E226E"/>
    <w:rsid w:val="002E252B"/>
    <w:rsid w:val="002E293C"/>
    <w:rsid w:val="002E424B"/>
    <w:rsid w:val="002E55B8"/>
    <w:rsid w:val="002E63C9"/>
    <w:rsid w:val="002E7E53"/>
    <w:rsid w:val="002F0522"/>
    <w:rsid w:val="002F085D"/>
    <w:rsid w:val="002F0B55"/>
    <w:rsid w:val="002F156E"/>
    <w:rsid w:val="002F15A7"/>
    <w:rsid w:val="002F249A"/>
    <w:rsid w:val="002F2B19"/>
    <w:rsid w:val="002F58D4"/>
    <w:rsid w:val="002F5EFA"/>
    <w:rsid w:val="0030149D"/>
    <w:rsid w:val="00301886"/>
    <w:rsid w:val="003018EA"/>
    <w:rsid w:val="00301E40"/>
    <w:rsid w:val="00302F68"/>
    <w:rsid w:val="00303A98"/>
    <w:rsid w:val="00306242"/>
    <w:rsid w:val="00306B46"/>
    <w:rsid w:val="00306E94"/>
    <w:rsid w:val="00307D18"/>
    <w:rsid w:val="00310965"/>
    <w:rsid w:val="00310C38"/>
    <w:rsid w:val="003111EA"/>
    <w:rsid w:val="00311263"/>
    <w:rsid w:val="003117DA"/>
    <w:rsid w:val="00312363"/>
    <w:rsid w:val="00312FBA"/>
    <w:rsid w:val="00314CBD"/>
    <w:rsid w:val="00314FA0"/>
    <w:rsid w:val="0031515C"/>
    <w:rsid w:val="00315F59"/>
    <w:rsid w:val="00320ED8"/>
    <w:rsid w:val="0032191C"/>
    <w:rsid w:val="0032306F"/>
    <w:rsid w:val="00323728"/>
    <w:rsid w:val="003240CF"/>
    <w:rsid w:val="003242F7"/>
    <w:rsid w:val="0032491A"/>
    <w:rsid w:val="003253B7"/>
    <w:rsid w:val="00325550"/>
    <w:rsid w:val="003255E4"/>
    <w:rsid w:val="00326218"/>
    <w:rsid w:val="00330881"/>
    <w:rsid w:val="00330DB7"/>
    <w:rsid w:val="00332B3B"/>
    <w:rsid w:val="00332C5D"/>
    <w:rsid w:val="003347FC"/>
    <w:rsid w:val="00334AE3"/>
    <w:rsid w:val="00336969"/>
    <w:rsid w:val="00337520"/>
    <w:rsid w:val="00340573"/>
    <w:rsid w:val="0034113F"/>
    <w:rsid w:val="00341349"/>
    <w:rsid w:val="003413C4"/>
    <w:rsid w:val="0034158D"/>
    <w:rsid w:val="00342073"/>
    <w:rsid w:val="003433FA"/>
    <w:rsid w:val="00344773"/>
    <w:rsid w:val="00344921"/>
    <w:rsid w:val="00344F6E"/>
    <w:rsid w:val="00346B12"/>
    <w:rsid w:val="003471F0"/>
    <w:rsid w:val="00347883"/>
    <w:rsid w:val="00350C20"/>
    <w:rsid w:val="0035275C"/>
    <w:rsid w:val="0035384F"/>
    <w:rsid w:val="00353999"/>
    <w:rsid w:val="003546E7"/>
    <w:rsid w:val="003547F0"/>
    <w:rsid w:val="00354926"/>
    <w:rsid w:val="003550AA"/>
    <w:rsid w:val="00355242"/>
    <w:rsid w:val="00356055"/>
    <w:rsid w:val="0035689F"/>
    <w:rsid w:val="003577EF"/>
    <w:rsid w:val="00357904"/>
    <w:rsid w:val="00360E43"/>
    <w:rsid w:val="0036145A"/>
    <w:rsid w:val="00361876"/>
    <w:rsid w:val="00361AEC"/>
    <w:rsid w:val="00362863"/>
    <w:rsid w:val="00362BF1"/>
    <w:rsid w:val="00362F3A"/>
    <w:rsid w:val="003671F2"/>
    <w:rsid w:val="0036766F"/>
    <w:rsid w:val="00370F1E"/>
    <w:rsid w:val="00371587"/>
    <w:rsid w:val="00371A33"/>
    <w:rsid w:val="00373197"/>
    <w:rsid w:val="003731C4"/>
    <w:rsid w:val="003733DA"/>
    <w:rsid w:val="0037368D"/>
    <w:rsid w:val="00373B52"/>
    <w:rsid w:val="00374842"/>
    <w:rsid w:val="003752F2"/>
    <w:rsid w:val="00376F92"/>
    <w:rsid w:val="003779A6"/>
    <w:rsid w:val="00377FA1"/>
    <w:rsid w:val="0038112F"/>
    <w:rsid w:val="00381668"/>
    <w:rsid w:val="003819B8"/>
    <w:rsid w:val="003819E3"/>
    <w:rsid w:val="00382426"/>
    <w:rsid w:val="003836E4"/>
    <w:rsid w:val="00384C9C"/>
    <w:rsid w:val="00385ECD"/>
    <w:rsid w:val="00386759"/>
    <w:rsid w:val="003871EC"/>
    <w:rsid w:val="00390107"/>
    <w:rsid w:val="0039129A"/>
    <w:rsid w:val="00391375"/>
    <w:rsid w:val="00392066"/>
    <w:rsid w:val="00393B75"/>
    <w:rsid w:val="00393F3E"/>
    <w:rsid w:val="00394E2F"/>
    <w:rsid w:val="003952EE"/>
    <w:rsid w:val="00395C62"/>
    <w:rsid w:val="003979FB"/>
    <w:rsid w:val="003A079F"/>
    <w:rsid w:val="003A0CC7"/>
    <w:rsid w:val="003A0F11"/>
    <w:rsid w:val="003A0F29"/>
    <w:rsid w:val="003A0FDC"/>
    <w:rsid w:val="003A1E5B"/>
    <w:rsid w:val="003A3B7C"/>
    <w:rsid w:val="003A4280"/>
    <w:rsid w:val="003A6CF7"/>
    <w:rsid w:val="003A752A"/>
    <w:rsid w:val="003A7E11"/>
    <w:rsid w:val="003B0038"/>
    <w:rsid w:val="003B0237"/>
    <w:rsid w:val="003B1C81"/>
    <w:rsid w:val="003B2681"/>
    <w:rsid w:val="003B2B63"/>
    <w:rsid w:val="003B3B56"/>
    <w:rsid w:val="003B6491"/>
    <w:rsid w:val="003B666B"/>
    <w:rsid w:val="003B6E69"/>
    <w:rsid w:val="003C16AD"/>
    <w:rsid w:val="003C2B88"/>
    <w:rsid w:val="003C3284"/>
    <w:rsid w:val="003C4258"/>
    <w:rsid w:val="003C4561"/>
    <w:rsid w:val="003C4EDE"/>
    <w:rsid w:val="003C5947"/>
    <w:rsid w:val="003C66A7"/>
    <w:rsid w:val="003C77EC"/>
    <w:rsid w:val="003D1D1E"/>
    <w:rsid w:val="003D3EC4"/>
    <w:rsid w:val="003D4026"/>
    <w:rsid w:val="003D4507"/>
    <w:rsid w:val="003D46B9"/>
    <w:rsid w:val="003D4E1F"/>
    <w:rsid w:val="003D5719"/>
    <w:rsid w:val="003D5DBC"/>
    <w:rsid w:val="003D5DEC"/>
    <w:rsid w:val="003D7126"/>
    <w:rsid w:val="003D738E"/>
    <w:rsid w:val="003D78CF"/>
    <w:rsid w:val="003D7E9C"/>
    <w:rsid w:val="003E0113"/>
    <w:rsid w:val="003E0227"/>
    <w:rsid w:val="003E0361"/>
    <w:rsid w:val="003E0466"/>
    <w:rsid w:val="003E06ED"/>
    <w:rsid w:val="003E0C08"/>
    <w:rsid w:val="003E2525"/>
    <w:rsid w:val="003E2C5D"/>
    <w:rsid w:val="003E47EA"/>
    <w:rsid w:val="003E6C31"/>
    <w:rsid w:val="003E7251"/>
    <w:rsid w:val="003E74C1"/>
    <w:rsid w:val="003F06EB"/>
    <w:rsid w:val="003F28A8"/>
    <w:rsid w:val="003F3027"/>
    <w:rsid w:val="003F3C7A"/>
    <w:rsid w:val="003F3CBC"/>
    <w:rsid w:val="003F46BE"/>
    <w:rsid w:val="003F48E1"/>
    <w:rsid w:val="003F5493"/>
    <w:rsid w:val="003F5536"/>
    <w:rsid w:val="003F7203"/>
    <w:rsid w:val="00400D33"/>
    <w:rsid w:val="00401A6D"/>
    <w:rsid w:val="004020F2"/>
    <w:rsid w:val="00402F70"/>
    <w:rsid w:val="004035AF"/>
    <w:rsid w:val="00406120"/>
    <w:rsid w:val="00406498"/>
    <w:rsid w:val="00407217"/>
    <w:rsid w:val="00410754"/>
    <w:rsid w:val="00411FB1"/>
    <w:rsid w:val="00412C26"/>
    <w:rsid w:val="00413BA6"/>
    <w:rsid w:val="00414605"/>
    <w:rsid w:val="00414C52"/>
    <w:rsid w:val="00414FB2"/>
    <w:rsid w:val="00415102"/>
    <w:rsid w:val="004152E9"/>
    <w:rsid w:val="004155BE"/>
    <w:rsid w:val="004166FE"/>
    <w:rsid w:val="00416789"/>
    <w:rsid w:val="00416A22"/>
    <w:rsid w:val="004178BF"/>
    <w:rsid w:val="004201BA"/>
    <w:rsid w:val="004202FB"/>
    <w:rsid w:val="00420DDA"/>
    <w:rsid w:val="00421E3B"/>
    <w:rsid w:val="00421F1E"/>
    <w:rsid w:val="00422576"/>
    <w:rsid w:val="00425C25"/>
    <w:rsid w:val="004263D9"/>
    <w:rsid w:val="0042653A"/>
    <w:rsid w:val="00426622"/>
    <w:rsid w:val="004268EF"/>
    <w:rsid w:val="00426C85"/>
    <w:rsid w:val="00430567"/>
    <w:rsid w:val="00431C3D"/>
    <w:rsid w:val="00431CC0"/>
    <w:rsid w:val="0043288D"/>
    <w:rsid w:val="00432A9A"/>
    <w:rsid w:val="00433245"/>
    <w:rsid w:val="004335B0"/>
    <w:rsid w:val="004339DE"/>
    <w:rsid w:val="00435649"/>
    <w:rsid w:val="004357DC"/>
    <w:rsid w:val="00436151"/>
    <w:rsid w:val="00436AD0"/>
    <w:rsid w:val="00437888"/>
    <w:rsid w:val="00442499"/>
    <w:rsid w:val="00443A93"/>
    <w:rsid w:val="00443A96"/>
    <w:rsid w:val="00444158"/>
    <w:rsid w:val="004460A4"/>
    <w:rsid w:val="00446346"/>
    <w:rsid w:val="004464CE"/>
    <w:rsid w:val="00447CD8"/>
    <w:rsid w:val="00450AF2"/>
    <w:rsid w:val="00451902"/>
    <w:rsid w:val="004546ED"/>
    <w:rsid w:val="004548F1"/>
    <w:rsid w:val="00454CF9"/>
    <w:rsid w:val="00456DC5"/>
    <w:rsid w:val="00457F9F"/>
    <w:rsid w:val="00461039"/>
    <w:rsid w:val="00461094"/>
    <w:rsid w:val="0046129E"/>
    <w:rsid w:val="00461FD7"/>
    <w:rsid w:val="00462295"/>
    <w:rsid w:val="00463112"/>
    <w:rsid w:val="0046346F"/>
    <w:rsid w:val="00463F6C"/>
    <w:rsid w:val="0046408E"/>
    <w:rsid w:val="00465B66"/>
    <w:rsid w:val="0046619F"/>
    <w:rsid w:val="004670ED"/>
    <w:rsid w:val="0046778D"/>
    <w:rsid w:val="00467B73"/>
    <w:rsid w:val="0047018D"/>
    <w:rsid w:val="004715F9"/>
    <w:rsid w:val="0047286F"/>
    <w:rsid w:val="00473120"/>
    <w:rsid w:val="00473290"/>
    <w:rsid w:val="00473816"/>
    <w:rsid w:val="00473E09"/>
    <w:rsid w:val="004757D3"/>
    <w:rsid w:val="00476E15"/>
    <w:rsid w:val="00481219"/>
    <w:rsid w:val="00481481"/>
    <w:rsid w:val="00481AF7"/>
    <w:rsid w:val="00482394"/>
    <w:rsid w:val="00483495"/>
    <w:rsid w:val="00483706"/>
    <w:rsid w:val="0048462B"/>
    <w:rsid w:val="00485004"/>
    <w:rsid w:val="00485E54"/>
    <w:rsid w:val="00490D11"/>
    <w:rsid w:val="00490D4D"/>
    <w:rsid w:val="00491001"/>
    <w:rsid w:val="00493E2A"/>
    <w:rsid w:val="00493E6E"/>
    <w:rsid w:val="00494CFF"/>
    <w:rsid w:val="004952D0"/>
    <w:rsid w:val="00496E38"/>
    <w:rsid w:val="0049703A"/>
    <w:rsid w:val="00497909"/>
    <w:rsid w:val="004A2281"/>
    <w:rsid w:val="004A2290"/>
    <w:rsid w:val="004A2A96"/>
    <w:rsid w:val="004A4BEE"/>
    <w:rsid w:val="004A5717"/>
    <w:rsid w:val="004A59A3"/>
    <w:rsid w:val="004A63AC"/>
    <w:rsid w:val="004A7F4A"/>
    <w:rsid w:val="004B071B"/>
    <w:rsid w:val="004B1656"/>
    <w:rsid w:val="004B342F"/>
    <w:rsid w:val="004B3944"/>
    <w:rsid w:val="004B3AB6"/>
    <w:rsid w:val="004B400D"/>
    <w:rsid w:val="004B5C8F"/>
    <w:rsid w:val="004B622A"/>
    <w:rsid w:val="004B772F"/>
    <w:rsid w:val="004C0FAA"/>
    <w:rsid w:val="004C2490"/>
    <w:rsid w:val="004C24E2"/>
    <w:rsid w:val="004C286D"/>
    <w:rsid w:val="004C4928"/>
    <w:rsid w:val="004C6372"/>
    <w:rsid w:val="004C69B1"/>
    <w:rsid w:val="004D056F"/>
    <w:rsid w:val="004D1643"/>
    <w:rsid w:val="004D1824"/>
    <w:rsid w:val="004D1DAF"/>
    <w:rsid w:val="004D3354"/>
    <w:rsid w:val="004D4E75"/>
    <w:rsid w:val="004D5925"/>
    <w:rsid w:val="004D6B28"/>
    <w:rsid w:val="004D7010"/>
    <w:rsid w:val="004D71BD"/>
    <w:rsid w:val="004D7224"/>
    <w:rsid w:val="004E03A1"/>
    <w:rsid w:val="004E0A17"/>
    <w:rsid w:val="004E180E"/>
    <w:rsid w:val="004E21C1"/>
    <w:rsid w:val="004E3929"/>
    <w:rsid w:val="004E3D75"/>
    <w:rsid w:val="004E56D3"/>
    <w:rsid w:val="004E592D"/>
    <w:rsid w:val="004E69EC"/>
    <w:rsid w:val="004E7AE6"/>
    <w:rsid w:val="004F1B34"/>
    <w:rsid w:val="004F1F2C"/>
    <w:rsid w:val="004F2245"/>
    <w:rsid w:val="004F2A36"/>
    <w:rsid w:val="004F2CAF"/>
    <w:rsid w:val="004F390A"/>
    <w:rsid w:val="004F43B2"/>
    <w:rsid w:val="004F464E"/>
    <w:rsid w:val="004F4C8D"/>
    <w:rsid w:val="004F4D0B"/>
    <w:rsid w:val="004F576D"/>
    <w:rsid w:val="004F6A82"/>
    <w:rsid w:val="004F7ED5"/>
    <w:rsid w:val="00500431"/>
    <w:rsid w:val="0050287B"/>
    <w:rsid w:val="0050382F"/>
    <w:rsid w:val="00503A31"/>
    <w:rsid w:val="00504C12"/>
    <w:rsid w:val="00507CFD"/>
    <w:rsid w:val="00511EE1"/>
    <w:rsid w:val="0051233F"/>
    <w:rsid w:val="0051297A"/>
    <w:rsid w:val="00513BBD"/>
    <w:rsid w:val="005140CC"/>
    <w:rsid w:val="00514C88"/>
    <w:rsid w:val="005166BF"/>
    <w:rsid w:val="00520113"/>
    <w:rsid w:val="0052118B"/>
    <w:rsid w:val="005269F1"/>
    <w:rsid w:val="005277A8"/>
    <w:rsid w:val="00530F2B"/>
    <w:rsid w:val="00531452"/>
    <w:rsid w:val="00531EDA"/>
    <w:rsid w:val="00531F6D"/>
    <w:rsid w:val="005323C9"/>
    <w:rsid w:val="00532F60"/>
    <w:rsid w:val="005330E4"/>
    <w:rsid w:val="00533695"/>
    <w:rsid w:val="005338FB"/>
    <w:rsid w:val="005346EA"/>
    <w:rsid w:val="00535B6E"/>
    <w:rsid w:val="00535FCA"/>
    <w:rsid w:val="00537555"/>
    <w:rsid w:val="00541FBF"/>
    <w:rsid w:val="005427AB"/>
    <w:rsid w:val="00542F7E"/>
    <w:rsid w:val="00543A6B"/>
    <w:rsid w:val="00543A92"/>
    <w:rsid w:val="00547283"/>
    <w:rsid w:val="005476E3"/>
    <w:rsid w:val="00547E9C"/>
    <w:rsid w:val="005510C2"/>
    <w:rsid w:val="00551322"/>
    <w:rsid w:val="00551613"/>
    <w:rsid w:val="00551688"/>
    <w:rsid w:val="005541F6"/>
    <w:rsid w:val="00554DBF"/>
    <w:rsid w:val="0055525B"/>
    <w:rsid w:val="00555C8D"/>
    <w:rsid w:val="0055744D"/>
    <w:rsid w:val="005575C1"/>
    <w:rsid w:val="00557E2E"/>
    <w:rsid w:val="00557EED"/>
    <w:rsid w:val="00560F98"/>
    <w:rsid w:val="00563544"/>
    <w:rsid w:val="0056457A"/>
    <w:rsid w:val="00564E30"/>
    <w:rsid w:val="00566503"/>
    <w:rsid w:val="00566767"/>
    <w:rsid w:val="00567084"/>
    <w:rsid w:val="005700E0"/>
    <w:rsid w:val="00570ED9"/>
    <w:rsid w:val="00571230"/>
    <w:rsid w:val="005715C2"/>
    <w:rsid w:val="005722F0"/>
    <w:rsid w:val="0057253F"/>
    <w:rsid w:val="00572FC0"/>
    <w:rsid w:val="0057357A"/>
    <w:rsid w:val="005741D5"/>
    <w:rsid w:val="00575BD8"/>
    <w:rsid w:val="00577A8C"/>
    <w:rsid w:val="00577D59"/>
    <w:rsid w:val="0058143D"/>
    <w:rsid w:val="00581F20"/>
    <w:rsid w:val="00582424"/>
    <w:rsid w:val="005830F5"/>
    <w:rsid w:val="00583E26"/>
    <w:rsid w:val="005840CF"/>
    <w:rsid w:val="005840E8"/>
    <w:rsid w:val="0058456C"/>
    <w:rsid w:val="00585562"/>
    <w:rsid w:val="005859C9"/>
    <w:rsid w:val="0058716A"/>
    <w:rsid w:val="00587610"/>
    <w:rsid w:val="00587BAF"/>
    <w:rsid w:val="0059041C"/>
    <w:rsid w:val="00591A5A"/>
    <w:rsid w:val="00591DC6"/>
    <w:rsid w:val="00594303"/>
    <w:rsid w:val="005944B2"/>
    <w:rsid w:val="00594E73"/>
    <w:rsid w:val="005950B5"/>
    <w:rsid w:val="00595A13"/>
    <w:rsid w:val="00596425"/>
    <w:rsid w:val="00597C6A"/>
    <w:rsid w:val="005A0D3D"/>
    <w:rsid w:val="005A307A"/>
    <w:rsid w:val="005A3ED8"/>
    <w:rsid w:val="005A4954"/>
    <w:rsid w:val="005A49A9"/>
    <w:rsid w:val="005A4F95"/>
    <w:rsid w:val="005A5C59"/>
    <w:rsid w:val="005A6948"/>
    <w:rsid w:val="005A7837"/>
    <w:rsid w:val="005A7BED"/>
    <w:rsid w:val="005B02A2"/>
    <w:rsid w:val="005B02F3"/>
    <w:rsid w:val="005B1BC0"/>
    <w:rsid w:val="005B2034"/>
    <w:rsid w:val="005B25EE"/>
    <w:rsid w:val="005B2962"/>
    <w:rsid w:val="005B46F0"/>
    <w:rsid w:val="005B4D5F"/>
    <w:rsid w:val="005B693E"/>
    <w:rsid w:val="005B74AB"/>
    <w:rsid w:val="005B7B86"/>
    <w:rsid w:val="005C02E2"/>
    <w:rsid w:val="005C15AE"/>
    <w:rsid w:val="005C598C"/>
    <w:rsid w:val="005C6FA9"/>
    <w:rsid w:val="005C75DA"/>
    <w:rsid w:val="005D050F"/>
    <w:rsid w:val="005D150D"/>
    <w:rsid w:val="005D1694"/>
    <w:rsid w:val="005D2102"/>
    <w:rsid w:val="005D46A4"/>
    <w:rsid w:val="005D56F1"/>
    <w:rsid w:val="005D5E4C"/>
    <w:rsid w:val="005D633C"/>
    <w:rsid w:val="005E146E"/>
    <w:rsid w:val="005E2C3F"/>
    <w:rsid w:val="005E37D2"/>
    <w:rsid w:val="005E3CD2"/>
    <w:rsid w:val="005E5187"/>
    <w:rsid w:val="005E70EA"/>
    <w:rsid w:val="005E73DE"/>
    <w:rsid w:val="005F171C"/>
    <w:rsid w:val="005F1ABC"/>
    <w:rsid w:val="005F1B4F"/>
    <w:rsid w:val="005F2390"/>
    <w:rsid w:val="005F2821"/>
    <w:rsid w:val="005F299A"/>
    <w:rsid w:val="005F3121"/>
    <w:rsid w:val="005F38AC"/>
    <w:rsid w:val="005F4B34"/>
    <w:rsid w:val="005F53A8"/>
    <w:rsid w:val="005F5457"/>
    <w:rsid w:val="005F6607"/>
    <w:rsid w:val="005F66EC"/>
    <w:rsid w:val="00600C9B"/>
    <w:rsid w:val="00601039"/>
    <w:rsid w:val="006011E0"/>
    <w:rsid w:val="0060143C"/>
    <w:rsid w:val="0060366B"/>
    <w:rsid w:val="00604871"/>
    <w:rsid w:val="00604C3A"/>
    <w:rsid w:val="00607C63"/>
    <w:rsid w:val="0061066F"/>
    <w:rsid w:val="00610BC4"/>
    <w:rsid w:val="00610E17"/>
    <w:rsid w:val="006113D0"/>
    <w:rsid w:val="0061227F"/>
    <w:rsid w:val="00614629"/>
    <w:rsid w:val="00614815"/>
    <w:rsid w:val="00614CD4"/>
    <w:rsid w:val="00615CBB"/>
    <w:rsid w:val="00617237"/>
    <w:rsid w:val="00617337"/>
    <w:rsid w:val="006174D7"/>
    <w:rsid w:val="006175B8"/>
    <w:rsid w:val="00620E1E"/>
    <w:rsid w:val="00622373"/>
    <w:rsid w:val="006237CC"/>
    <w:rsid w:val="00623C0E"/>
    <w:rsid w:val="00624086"/>
    <w:rsid w:val="00624894"/>
    <w:rsid w:val="00625096"/>
    <w:rsid w:val="00625198"/>
    <w:rsid w:val="0062572E"/>
    <w:rsid w:val="0062715E"/>
    <w:rsid w:val="00627F1A"/>
    <w:rsid w:val="00630BAF"/>
    <w:rsid w:val="006310D5"/>
    <w:rsid w:val="0063377A"/>
    <w:rsid w:val="00635447"/>
    <w:rsid w:val="00640FF2"/>
    <w:rsid w:val="00641869"/>
    <w:rsid w:val="00642666"/>
    <w:rsid w:val="006428F7"/>
    <w:rsid w:val="0064346C"/>
    <w:rsid w:val="00644C80"/>
    <w:rsid w:val="00646DE6"/>
    <w:rsid w:val="006473A0"/>
    <w:rsid w:val="00647736"/>
    <w:rsid w:val="00647750"/>
    <w:rsid w:val="00650C5E"/>
    <w:rsid w:val="0065233E"/>
    <w:rsid w:val="00652FF5"/>
    <w:rsid w:val="00653270"/>
    <w:rsid w:val="006545F2"/>
    <w:rsid w:val="00655B13"/>
    <w:rsid w:val="00655BF7"/>
    <w:rsid w:val="00655CEA"/>
    <w:rsid w:val="00655D9D"/>
    <w:rsid w:val="0065620F"/>
    <w:rsid w:val="00656DAF"/>
    <w:rsid w:val="0065711A"/>
    <w:rsid w:val="00657132"/>
    <w:rsid w:val="00657730"/>
    <w:rsid w:val="006578D2"/>
    <w:rsid w:val="00657DFA"/>
    <w:rsid w:val="006611F2"/>
    <w:rsid w:val="006615F1"/>
    <w:rsid w:val="00663815"/>
    <w:rsid w:val="00663906"/>
    <w:rsid w:val="006639E9"/>
    <w:rsid w:val="006666E7"/>
    <w:rsid w:val="006674C7"/>
    <w:rsid w:val="00672AE4"/>
    <w:rsid w:val="00672CDD"/>
    <w:rsid w:val="00673356"/>
    <w:rsid w:val="006759C5"/>
    <w:rsid w:val="0067664D"/>
    <w:rsid w:val="00677132"/>
    <w:rsid w:val="0067743F"/>
    <w:rsid w:val="006775C7"/>
    <w:rsid w:val="00681463"/>
    <w:rsid w:val="006820ED"/>
    <w:rsid w:val="006827F9"/>
    <w:rsid w:val="00682F4B"/>
    <w:rsid w:val="006831DD"/>
    <w:rsid w:val="0068419C"/>
    <w:rsid w:val="006843EC"/>
    <w:rsid w:val="00684989"/>
    <w:rsid w:val="00685619"/>
    <w:rsid w:val="00685A18"/>
    <w:rsid w:val="00687B8C"/>
    <w:rsid w:val="00687E5D"/>
    <w:rsid w:val="00692288"/>
    <w:rsid w:val="006927CE"/>
    <w:rsid w:val="006931E5"/>
    <w:rsid w:val="00693921"/>
    <w:rsid w:val="00693F99"/>
    <w:rsid w:val="006948E1"/>
    <w:rsid w:val="0069584F"/>
    <w:rsid w:val="00695FCF"/>
    <w:rsid w:val="00696890"/>
    <w:rsid w:val="00697C03"/>
    <w:rsid w:val="006A1685"/>
    <w:rsid w:val="006A181D"/>
    <w:rsid w:val="006A27CA"/>
    <w:rsid w:val="006A4547"/>
    <w:rsid w:val="006A4794"/>
    <w:rsid w:val="006A5CC4"/>
    <w:rsid w:val="006A735B"/>
    <w:rsid w:val="006A7986"/>
    <w:rsid w:val="006B2A93"/>
    <w:rsid w:val="006B3ABC"/>
    <w:rsid w:val="006B4036"/>
    <w:rsid w:val="006B58C2"/>
    <w:rsid w:val="006B7D7E"/>
    <w:rsid w:val="006C0076"/>
    <w:rsid w:val="006C00BC"/>
    <w:rsid w:val="006C0329"/>
    <w:rsid w:val="006C0718"/>
    <w:rsid w:val="006C169E"/>
    <w:rsid w:val="006C376F"/>
    <w:rsid w:val="006C4BD9"/>
    <w:rsid w:val="006C4C18"/>
    <w:rsid w:val="006C557F"/>
    <w:rsid w:val="006C64B6"/>
    <w:rsid w:val="006C6729"/>
    <w:rsid w:val="006C6F13"/>
    <w:rsid w:val="006C7340"/>
    <w:rsid w:val="006C7A67"/>
    <w:rsid w:val="006C7DA9"/>
    <w:rsid w:val="006D0119"/>
    <w:rsid w:val="006D13AC"/>
    <w:rsid w:val="006D1D11"/>
    <w:rsid w:val="006D1F53"/>
    <w:rsid w:val="006D2BA9"/>
    <w:rsid w:val="006D32EA"/>
    <w:rsid w:val="006D3B21"/>
    <w:rsid w:val="006D49E9"/>
    <w:rsid w:val="006D4A34"/>
    <w:rsid w:val="006D51C7"/>
    <w:rsid w:val="006D531D"/>
    <w:rsid w:val="006D5688"/>
    <w:rsid w:val="006D592A"/>
    <w:rsid w:val="006D7C0B"/>
    <w:rsid w:val="006E1B77"/>
    <w:rsid w:val="006E2484"/>
    <w:rsid w:val="006E5A2E"/>
    <w:rsid w:val="006E5F30"/>
    <w:rsid w:val="006E6381"/>
    <w:rsid w:val="006E6CB1"/>
    <w:rsid w:val="006E77A7"/>
    <w:rsid w:val="006F2FD6"/>
    <w:rsid w:val="006F3560"/>
    <w:rsid w:val="006F3D4B"/>
    <w:rsid w:val="006F4056"/>
    <w:rsid w:val="006F5125"/>
    <w:rsid w:val="00700826"/>
    <w:rsid w:val="00700B19"/>
    <w:rsid w:val="007016F5"/>
    <w:rsid w:val="00705410"/>
    <w:rsid w:val="00705DE7"/>
    <w:rsid w:val="0070637E"/>
    <w:rsid w:val="00706D73"/>
    <w:rsid w:val="007070A0"/>
    <w:rsid w:val="007100B4"/>
    <w:rsid w:val="00711FC4"/>
    <w:rsid w:val="007146E3"/>
    <w:rsid w:val="00714993"/>
    <w:rsid w:val="0071624D"/>
    <w:rsid w:val="007176BF"/>
    <w:rsid w:val="00717A91"/>
    <w:rsid w:val="0072078E"/>
    <w:rsid w:val="00720B9C"/>
    <w:rsid w:val="00722CC1"/>
    <w:rsid w:val="00725293"/>
    <w:rsid w:val="00727647"/>
    <w:rsid w:val="00727E1A"/>
    <w:rsid w:val="00730A6A"/>
    <w:rsid w:val="00731B35"/>
    <w:rsid w:val="007326F8"/>
    <w:rsid w:val="00732ED9"/>
    <w:rsid w:val="00733193"/>
    <w:rsid w:val="00734AC6"/>
    <w:rsid w:val="00734E0D"/>
    <w:rsid w:val="00736457"/>
    <w:rsid w:val="0073789D"/>
    <w:rsid w:val="00740167"/>
    <w:rsid w:val="007402F8"/>
    <w:rsid w:val="00740360"/>
    <w:rsid w:val="007407DF"/>
    <w:rsid w:val="00740878"/>
    <w:rsid w:val="007414E9"/>
    <w:rsid w:val="00741BCA"/>
    <w:rsid w:val="00742FA9"/>
    <w:rsid w:val="0074351C"/>
    <w:rsid w:val="00744495"/>
    <w:rsid w:val="00744A21"/>
    <w:rsid w:val="00745423"/>
    <w:rsid w:val="0074675C"/>
    <w:rsid w:val="0074790C"/>
    <w:rsid w:val="00747BD6"/>
    <w:rsid w:val="0075148E"/>
    <w:rsid w:val="00751E52"/>
    <w:rsid w:val="007520BA"/>
    <w:rsid w:val="007522B1"/>
    <w:rsid w:val="007552CE"/>
    <w:rsid w:val="00755FAF"/>
    <w:rsid w:val="00756F41"/>
    <w:rsid w:val="00757CFD"/>
    <w:rsid w:val="00760796"/>
    <w:rsid w:val="00760CD7"/>
    <w:rsid w:val="007613E4"/>
    <w:rsid w:val="007620F5"/>
    <w:rsid w:val="007629E4"/>
    <w:rsid w:val="00762BF2"/>
    <w:rsid w:val="00764021"/>
    <w:rsid w:val="0076496D"/>
    <w:rsid w:val="00765891"/>
    <w:rsid w:val="00773155"/>
    <w:rsid w:val="00773742"/>
    <w:rsid w:val="007738C1"/>
    <w:rsid w:val="00773EA0"/>
    <w:rsid w:val="007755CA"/>
    <w:rsid w:val="007758BE"/>
    <w:rsid w:val="0077684C"/>
    <w:rsid w:val="00776ACE"/>
    <w:rsid w:val="00777A2F"/>
    <w:rsid w:val="00780EC5"/>
    <w:rsid w:val="00782627"/>
    <w:rsid w:val="00782B38"/>
    <w:rsid w:val="007835FB"/>
    <w:rsid w:val="00783B7C"/>
    <w:rsid w:val="00783C40"/>
    <w:rsid w:val="00784476"/>
    <w:rsid w:val="007850CD"/>
    <w:rsid w:val="007850D9"/>
    <w:rsid w:val="00785A75"/>
    <w:rsid w:val="00785AD5"/>
    <w:rsid w:val="00786B54"/>
    <w:rsid w:val="00787F69"/>
    <w:rsid w:val="00791431"/>
    <w:rsid w:val="00793BDC"/>
    <w:rsid w:val="00793CF4"/>
    <w:rsid w:val="00793F3E"/>
    <w:rsid w:val="00795DA3"/>
    <w:rsid w:val="00796FAE"/>
    <w:rsid w:val="007A1A45"/>
    <w:rsid w:val="007A4880"/>
    <w:rsid w:val="007A4FEE"/>
    <w:rsid w:val="007A53ED"/>
    <w:rsid w:val="007A551F"/>
    <w:rsid w:val="007A5B56"/>
    <w:rsid w:val="007A5F9F"/>
    <w:rsid w:val="007A7A1A"/>
    <w:rsid w:val="007B0D5E"/>
    <w:rsid w:val="007B12C8"/>
    <w:rsid w:val="007B168C"/>
    <w:rsid w:val="007B2239"/>
    <w:rsid w:val="007B2467"/>
    <w:rsid w:val="007B2F9F"/>
    <w:rsid w:val="007B3116"/>
    <w:rsid w:val="007B58E9"/>
    <w:rsid w:val="007B5F1A"/>
    <w:rsid w:val="007B6612"/>
    <w:rsid w:val="007B6C52"/>
    <w:rsid w:val="007B78DF"/>
    <w:rsid w:val="007B7F0A"/>
    <w:rsid w:val="007C0144"/>
    <w:rsid w:val="007C3660"/>
    <w:rsid w:val="007C3DBA"/>
    <w:rsid w:val="007C5557"/>
    <w:rsid w:val="007C5DBE"/>
    <w:rsid w:val="007C651E"/>
    <w:rsid w:val="007C68CD"/>
    <w:rsid w:val="007C6B75"/>
    <w:rsid w:val="007C7426"/>
    <w:rsid w:val="007D034E"/>
    <w:rsid w:val="007D130A"/>
    <w:rsid w:val="007D1AB7"/>
    <w:rsid w:val="007D24F2"/>
    <w:rsid w:val="007D2540"/>
    <w:rsid w:val="007D31BD"/>
    <w:rsid w:val="007D44FB"/>
    <w:rsid w:val="007D541D"/>
    <w:rsid w:val="007D5454"/>
    <w:rsid w:val="007D687E"/>
    <w:rsid w:val="007D713B"/>
    <w:rsid w:val="007D7865"/>
    <w:rsid w:val="007E01A1"/>
    <w:rsid w:val="007E01EE"/>
    <w:rsid w:val="007E0366"/>
    <w:rsid w:val="007E0C11"/>
    <w:rsid w:val="007E0EA8"/>
    <w:rsid w:val="007E1385"/>
    <w:rsid w:val="007E21F5"/>
    <w:rsid w:val="007E2296"/>
    <w:rsid w:val="007E262E"/>
    <w:rsid w:val="007E2D19"/>
    <w:rsid w:val="007E3028"/>
    <w:rsid w:val="007E3A30"/>
    <w:rsid w:val="007E3B8A"/>
    <w:rsid w:val="007E5260"/>
    <w:rsid w:val="007E5810"/>
    <w:rsid w:val="007E5D13"/>
    <w:rsid w:val="007E68CA"/>
    <w:rsid w:val="007E70BE"/>
    <w:rsid w:val="007E739F"/>
    <w:rsid w:val="007E7ACB"/>
    <w:rsid w:val="007F07A2"/>
    <w:rsid w:val="007F0961"/>
    <w:rsid w:val="007F177D"/>
    <w:rsid w:val="007F19A1"/>
    <w:rsid w:val="007F201D"/>
    <w:rsid w:val="007F2DA6"/>
    <w:rsid w:val="007F375B"/>
    <w:rsid w:val="007F5340"/>
    <w:rsid w:val="007F57C5"/>
    <w:rsid w:val="007F5A45"/>
    <w:rsid w:val="007F5F30"/>
    <w:rsid w:val="007F64C4"/>
    <w:rsid w:val="007F7275"/>
    <w:rsid w:val="007F7486"/>
    <w:rsid w:val="0080264B"/>
    <w:rsid w:val="008026B7"/>
    <w:rsid w:val="008027DC"/>
    <w:rsid w:val="00802FB7"/>
    <w:rsid w:val="00803DBC"/>
    <w:rsid w:val="008049E8"/>
    <w:rsid w:val="00804ADF"/>
    <w:rsid w:val="008052C4"/>
    <w:rsid w:val="00807B33"/>
    <w:rsid w:val="00807B42"/>
    <w:rsid w:val="0081142C"/>
    <w:rsid w:val="00813130"/>
    <w:rsid w:val="008146C6"/>
    <w:rsid w:val="008166F1"/>
    <w:rsid w:val="00821537"/>
    <w:rsid w:val="00822E23"/>
    <w:rsid w:val="00825FE1"/>
    <w:rsid w:val="00827696"/>
    <w:rsid w:val="00830AB3"/>
    <w:rsid w:val="00830B47"/>
    <w:rsid w:val="00830B75"/>
    <w:rsid w:val="00831363"/>
    <w:rsid w:val="00831BBF"/>
    <w:rsid w:val="008324A0"/>
    <w:rsid w:val="008325E2"/>
    <w:rsid w:val="00832636"/>
    <w:rsid w:val="00834018"/>
    <w:rsid w:val="00834232"/>
    <w:rsid w:val="008350F6"/>
    <w:rsid w:val="008379DF"/>
    <w:rsid w:val="00840BE5"/>
    <w:rsid w:val="008416F8"/>
    <w:rsid w:val="008421B5"/>
    <w:rsid w:val="00843D9A"/>
    <w:rsid w:val="008441A0"/>
    <w:rsid w:val="00844E97"/>
    <w:rsid w:val="00846A0C"/>
    <w:rsid w:val="008506E4"/>
    <w:rsid w:val="00850D46"/>
    <w:rsid w:val="00850E0E"/>
    <w:rsid w:val="00851851"/>
    <w:rsid w:val="00851BA3"/>
    <w:rsid w:val="00852900"/>
    <w:rsid w:val="00852B73"/>
    <w:rsid w:val="008530E0"/>
    <w:rsid w:val="00854609"/>
    <w:rsid w:val="00855C70"/>
    <w:rsid w:val="0085643C"/>
    <w:rsid w:val="00856DE1"/>
    <w:rsid w:val="008571B7"/>
    <w:rsid w:val="0086038A"/>
    <w:rsid w:val="008603D2"/>
    <w:rsid w:val="008609D2"/>
    <w:rsid w:val="0086109D"/>
    <w:rsid w:val="00861D70"/>
    <w:rsid w:val="00862686"/>
    <w:rsid w:val="00863ECD"/>
    <w:rsid w:val="008661F0"/>
    <w:rsid w:val="00866BCF"/>
    <w:rsid w:val="00867757"/>
    <w:rsid w:val="00867DEA"/>
    <w:rsid w:val="00870385"/>
    <w:rsid w:val="0087280D"/>
    <w:rsid w:val="008731FC"/>
    <w:rsid w:val="00873538"/>
    <w:rsid w:val="0087478F"/>
    <w:rsid w:val="00874F03"/>
    <w:rsid w:val="00876FA6"/>
    <w:rsid w:val="00877A6E"/>
    <w:rsid w:val="00880206"/>
    <w:rsid w:val="00881C22"/>
    <w:rsid w:val="00882AAE"/>
    <w:rsid w:val="008839E8"/>
    <w:rsid w:val="008846A7"/>
    <w:rsid w:val="008847C1"/>
    <w:rsid w:val="008852BF"/>
    <w:rsid w:val="00886226"/>
    <w:rsid w:val="008864C1"/>
    <w:rsid w:val="00886B28"/>
    <w:rsid w:val="00886B42"/>
    <w:rsid w:val="00886C60"/>
    <w:rsid w:val="00887318"/>
    <w:rsid w:val="00887ABE"/>
    <w:rsid w:val="00891088"/>
    <w:rsid w:val="0089191A"/>
    <w:rsid w:val="008928D8"/>
    <w:rsid w:val="0089363C"/>
    <w:rsid w:val="00897B20"/>
    <w:rsid w:val="008A13E8"/>
    <w:rsid w:val="008A1480"/>
    <w:rsid w:val="008A17F7"/>
    <w:rsid w:val="008A18E4"/>
    <w:rsid w:val="008A3113"/>
    <w:rsid w:val="008A32BC"/>
    <w:rsid w:val="008A5017"/>
    <w:rsid w:val="008A5932"/>
    <w:rsid w:val="008A6C93"/>
    <w:rsid w:val="008A6E56"/>
    <w:rsid w:val="008B01F6"/>
    <w:rsid w:val="008B1583"/>
    <w:rsid w:val="008B25E9"/>
    <w:rsid w:val="008B2A1A"/>
    <w:rsid w:val="008B459A"/>
    <w:rsid w:val="008B477D"/>
    <w:rsid w:val="008B4A01"/>
    <w:rsid w:val="008B66FD"/>
    <w:rsid w:val="008B73FD"/>
    <w:rsid w:val="008B7681"/>
    <w:rsid w:val="008C24DB"/>
    <w:rsid w:val="008C2508"/>
    <w:rsid w:val="008C26CE"/>
    <w:rsid w:val="008C2F43"/>
    <w:rsid w:val="008C32A2"/>
    <w:rsid w:val="008C3346"/>
    <w:rsid w:val="008C4AF0"/>
    <w:rsid w:val="008C4E13"/>
    <w:rsid w:val="008C4EB0"/>
    <w:rsid w:val="008C6397"/>
    <w:rsid w:val="008C640F"/>
    <w:rsid w:val="008C69D7"/>
    <w:rsid w:val="008C6EC1"/>
    <w:rsid w:val="008D0642"/>
    <w:rsid w:val="008D1D8D"/>
    <w:rsid w:val="008D2DC7"/>
    <w:rsid w:val="008D3E03"/>
    <w:rsid w:val="008D4C8F"/>
    <w:rsid w:val="008D4CC0"/>
    <w:rsid w:val="008D51A0"/>
    <w:rsid w:val="008D52E7"/>
    <w:rsid w:val="008D6C86"/>
    <w:rsid w:val="008D6D44"/>
    <w:rsid w:val="008D6FBC"/>
    <w:rsid w:val="008D7344"/>
    <w:rsid w:val="008E000F"/>
    <w:rsid w:val="008E0A27"/>
    <w:rsid w:val="008E0C21"/>
    <w:rsid w:val="008E1122"/>
    <w:rsid w:val="008E12D4"/>
    <w:rsid w:val="008E14BF"/>
    <w:rsid w:val="008E1ABC"/>
    <w:rsid w:val="008E34E5"/>
    <w:rsid w:val="008E45AC"/>
    <w:rsid w:val="008E468A"/>
    <w:rsid w:val="008E47E0"/>
    <w:rsid w:val="008E594B"/>
    <w:rsid w:val="008E636B"/>
    <w:rsid w:val="008E77D5"/>
    <w:rsid w:val="008F235F"/>
    <w:rsid w:val="008F31D9"/>
    <w:rsid w:val="008F395F"/>
    <w:rsid w:val="008F4E54"/>
    <w:rsid w:val="00900243"/>
    <w:rsid w:val="00900D41"/>
    <w:rsid w:val="00901C16"/>
    <w:rsid w:val="009044DD"/>
    <w:rsid w:val="009061D8"/>
    <w:rsid w:val="00907DA2"/>
    <w:rsid w:val="00910060"/>
    <w:rsid w:val="00912A55"/>
    <w:rsid w:val="00912DB2"/>
    <w:rsid w:val="00913528"/>
    <w:rsid w:val="00914FA8"/>
    <w:rsid w:val="009152FA"/>
    <w:rsid w:val="009167D1"/>
    <w:rsid w:val="009168B0"/>
    <w:rsid w:val="00920107"/>
    <w:rsid w:val="0092060F"/>
    <w:rsid w:val="009220CE"/>
    <w:rsid w:val="009239E9"/>
    <w:rsid w:val="009264FA"/>
    <w:rsid w:val="00926A42"/>
    <w:rsid w:val="009279D6"/>
    <w:rsid w:val="0093076C"/>
    <w:rsid w:val="00930C86"/>
    <w:rsid w:val="00932E4D"/>
    <w:rsid w:val="00933AAC"/>
    <w:rsid w:val="00933D0C"/>
    <w:rsid w:val="00933E45"/>
    <w:rsid w:val="00933ECA"/>
    <w:rsid w:val="009354D1"/>
    <w:rsid w:val="00935EB9"/>
    <w:rsid w:val="009368F9"/>
    <w:rsid w:val="00936BEF"/>
    <w:rsid w:val="00936D3D"/>
    <w:rsid w:val="00936F81"/>
    <w:rsid w:val="0093726D"/>
    <w:rsid w:val="0093761A"/>
    <w:rsid w:val="00937B68"/>
    <w:rsid w:val="00941D18"/>
    <w:rsid w:val="009427C3"/>
    <w:rsid w:val="00942C7B"/>
    <w:rsid w:val="00943C16"/>
    <w:rsid w:val="009444D1"/>
    <w:rsid w:val="009448D8"/>
    <w:rsid w:val="00944B43"/>
    <w:rsid w:val="009468C7"/>
    <w:rsid w:val="00946C25"/>
    <w:rsid w:val="00946CAC"/>
    <w:rsid w:val="00946D7C"/>
    <w:rsid w:val="0095054B"/>
    <w:rsid w:val="00951302"/>
    <w:rsid w:val="00952204"/>
    <w:rsid w:val="00952D42"/>
    <w:rsid w:val="00952F55"/>
    <w:rsid w:val="009535CF"/>
    <w:rsid w:val="009539AB"/>
    <w:rsid w:val="009540FE"/>
    <w:rsid w:val="00954924"/>
    <w:rsid w:val="009574F5"/>
    <w:rsid w:val="00961220"/>
    <w:rsid w:val="009613F2"/>
    <w:rsid w:val="00961D8C"/>
    <w:rsid w:val="009621D4"/>
    <w:rsid w:val="0096307A"/>
    <w:rsid w:val="00963D59"/>
    <w:rsid w:val="00963DD8"/>
    <w:rsid w:val="00964120"/>
    <w:rsid w:val="009645AC"/>
    <w:rsid w:val="009648EB"/>
    <w:rsid w:val="00965081"/>
    <w:rsid w:val="009650C1"/>
    <w:rsid w:val="00967D32"/>
    <w:rsid w:val="00967ED2"/>
    <w:rsid w:val="00970E8A"/>
    <w:rsid w:val="00972446"/>
    <w:rsid w:val="00972BC0"/>
    <w:rsid w:val="00973556"/>
    <w:rsid w:val="00973929"/>
    <w:rsid w:val="00974690"/>
    <w:rsid w:val="00975126"/>
    <w:rsid w:val="00975C7C"/>
    <w:rsid w:val="00976F74"/>
    <w:rsid w:val="0097722F"/>
    <w:rsid w:val="00977406"/>
    <w:rsid w:val="00977ABC"/>
    <w:rsid w:val="00981AAC"/>
    <w:rsid w:val="00981F12"/>
    <w:rsid w:val="009838C0"/>
    <w:rsid w:val="009846B0"/>
    <w:rsid w:val="00985365"/>
    <w:rsid w:val="00985608"/>
    <w:rsid w:val="0099034B"/>
    <w:rsid w:val="009924FF"/>
    <w:rsid w:val="009928E5"/>
    <w:rsid w:val="00992A70"/>
    <w:rsid w:val="00993503"/>
    <w:rsid w:val="00994743"/>
    <w:rsid w:val="00994F09"/>
    <w:rsid w:val="00994FE1"/>
    <w:rsid w:val="00995DFA"/>
    <w:rsid w:val="00995E05"/>
    <w:rsid w:val="00997891"/>
    <w:rsid w:val="00997D23"/>
    <w:rsid w:val="009A0255"/>
    <w:rsid w:val="009A0990"/>
    <w:rsid w:val="009A0F20"/>
    <w:rsid w:val="009A11FB"/>
    <w:rsid w:val="009A1378"/>
    <w:rsid w:val="009A1DF4"/>
    <w:rsid w:val="009A1F72"/>
    <w:rsid w:val="009A317D"/>
    <w:rsid w:val="009A3A0F"/>
    <w:rsid w:val="009A3D42"/>
    <w:rsid w:val="009A4791"/>
    <w:rsid w:val="009A63B6"/>
    <w:rsid w:val="009A6CD9"/>
    <w:rsid w:val="009A75E5"/>
    <w:rsid w:val="009A7B74"/>
    <w:rsid w:val="009B0561"/>
    <w:rsid w:val="009B0612"/>
    <w:rsid w:val="009B0920"/>
    <w:rsid w:val="009B16D3"/>
    <w:rsid w:val="009B2365"/>
    <w:rsid w:val="009B25EB"/>
    <w:rsid w:val="009B328F"/>
    <w:rsid w:val="009B32C3"/>
    <w:rsid w:val="009B3603"/>
    <w:rsid w:val="009B40C8"/>
    <w:rsid w:val="009B4C01"/>
    <w:rsid w:val="009B5EE3"/>
    <w:rsid w:val="009B658C"/>
    <w:rsid w:val="009B669F"/>
    <w:rsid w:val="009B73F1"/>
    <w:rsid w:val="009B795D"/>
    <w:rsid w:val="009C0890"/>
    <w:rsid w:val="009C217C"/>
    <w:rsid w:val="009C22F8"/>
    <w:rsid w:val="009C2B4E"/>
    <w:rsid w:val="009C2EFF"/>
    <w:rsid w:val="009C36A7"/>
    <w:rsid w:val="009C3A16"/>
    <w:rsid w:val="009C3FBD"/>
    <w:rsid w:val="009C4A86"/>
    <w:rsid w:val="009C4B26"/>
    <w:rsid w:val="009C5B54"/>
    <w:rsid w:val="009C5F09"/>
    <w:rsid w:val="009C662B"/>
    <w:rsid w:val="009C7B15"/>
    <w:rsid w:val="009D1041"/>
    <w:rsid w:val="009D16A3"/>
    <w:rsid w:val="009D1E06"/>
    <w:rsid w:val="009D1E89"/>
    <w:rsid w:val="009D1F7B"/>
    <w:rsid w:val="009D2555"/>
    <w:rsid w:val="009D2B9F"/>
    <w:rsid w:val="009D2DE2"/>
    <w:rsid w:val="009D379C"/>
    <w:rsid w:val="009D4172"/>
    <w:rsid w:val="009D46F0"/>
    <w:rsid w:val="009D5EFB"/>
    <w:rsid w:val="009D6B71"/>
    <w:rsid w:val="009E2504"/>
    <w:rsid w:val="009E2D15"/>
    <w:rsid w:val="009E2D5C"/>
    <w:rsid w:val="009E399C"/>
    <w:rsid w:val="009E45FC"/>
    <w:rsid w:val="009E53F6"/>
    <w:rsid w:val="009E59C9"/>
    <w:rsid w:val="009E6132"/>
    <w:rsid w:val="009E65BA"/>
    <w:rsid w:val="009E7E54"/>
    <w:rsid w:val="009F0B08"/>
    <w:rsid w:val="009F20AA"/>
    <w:rsid w:val="009F32C5"/>
    <w:rsid w:val="009F3591"/>
    <w:rsid w:val="009F3CFD"/>
    <w:rsid w:val="009F5FA5"/>
    <w:rsid w:val="009F7991"/>
    <w:rsid w:val="00A00317"/>
    <w:rsid w:val="00A01F83"/>
    <w:rsid w:val="00A03390"/>
    <w:rsid w:val="00A03600"/>
    <w:rsid w:val="00A04263"/>
    <w:rsid w:val="00A06325"/>
    <w:rsid w:val="00A0733B"/>
    <w:rsid w:val="00A0746C"/>
    <w:rsid w:val="00A11198"/>
    <w:rsid w:val="00A123DC"/>
    <w:rsid w:val="00A12601"/>
    <w:rsid w:val="00A1265C"/>
    <w:rsid w:val="00A138F7"/>
    <w:rsid w:val="00A1434B"/>
    <w:rsid w:val="00A15444"/>
    <w:rsid w:val="00A156FA"/>
    <w:rsid w:val="00A1705B"/>
    <w:rsid w:val="00A225AF"/>
    <w:rsid w:val="00A26864"/>
    <w:rsid w:val="00A26CA0"/>
    <w:rsid w:val="00A30F2B"/>
    <w:rsid w:val="00A33139"/>
    <w:rsid w:val="00A33552"/>
    <w:rsid w:val="00A33E40"/>
    <w:rsid w:val="00A35D19"/>
    <w:rsid w:val="00A368D3"/>
    <w:rsid w:val="00A436DD"/>
    <w:rsid w:val="00A43F67"/>
    <w:rsid w:val="00A4446E"/>
    <w:rsid w:val="00A448E8"/>
    <w:rsid w:val="00A45260"/>
    <w:rsid w:val="00A517C9"/>
    <w:rsid w:val="00A518A3"/>
    <w:rsid w:val="00A53352"/>
    <w:rsid w:val="00A53BAB"/>
    <w:rsid w:val="00A5650B"/>
    <w:rsid w:val="00A577ED"/>
    <w:rsid w:val="00A578AC"/>
    <w:rsid w:val="00A606A5"/>
    <w:rsid w:val="00A61821"/>
    <w:rsid w:val="00A62F1F"/>
    <w:rsid w:val="00A6396D"/>
    <w:rsid w:val="00A64863"/>
    <w:rsid w:val="00A64BC5"/>
    <w:rsid w:val="00A6504E"/>
    <w:rsid w:val="00A659BD"/>
    <w:rsid w:val="00A65E01"/>
    <w:rsid w:val="00A65E59"/>
    <w:rsid w:val="00A664A6"/>
    <w:rsid w:val="00A665DC"/>
    <w:rsid w:val="00A66607"/>
    <w:rsid w:val="00A70F97"/>
    <w:rsid w:val="00A711AC"/>
    <w:rsid w:val="00A71D7B"/>
    <w:rsid w:val="00A721C0"/>
    <w:rsid w:val="00A7309A"/>
    <w:rsid w:val="00A732E9"/>
    <w:rsid w:val="00A73A51"/>
    <w:rsid w:val="00A75123"/>
    <w:rsid w:val="00A75688"/>
    <w:rsid w:val="00A75694"/>
    <w:rsid w:val="00A776F4"/>
    <w:rsid w:val="00A8097A"/>
    <w:rsid w:val="00A819D0"/>
    <w:rsid w:val="00A83E58"/>
    <w:rsid w:val="00A84517"/>
    <w:rsid w:val="00A84D11"/>
    <w:rsid w:val="00A850BF"/>
    <w:rsid w:val="00A85660"/>
    <w:rsid w:val="00A866DC"/>
    <w:rsid w:val="00A903AA"/>
    <w:rsid w:val="00A9050B"/>
    <w:rsid w:val="00A90C70"/>
    <w:rsid w:val="00A90D4D"/>
    <w:rsid w:val="00A9339F"/>
    <w:rsid w:val="00A93892"/>
    <w:rsid w:val="00A95878"/>
    <w:rsid w:val="00A96595"/>
    <w:rsid w:val="00A967AD"/>
    <w:rsid w:val="00AA0C6C"/>
    <w:rsid w:val="00AA12FD"/>
    <w:rsid w:val="00AA27FD"/>
    <w:rsid w:val="00AA37BE"/>
    <w:rsid w:val="00AA454B"/>
    <w:rsid w:val="00AA4D18"/>
    <w:rsid w:val="00AA5596"/>
    <w:rsid w:val="00AA5BF7"/>
    <w:rsid w:val="00AB04C5"/>
    <w:rsid w:val="00AB09F8"/>
    <w:rsid w:val="00AB2DBA"/>
    <w:rsid w:val="00AB3403"/>
    <w:rsid w:val="00AB3E77"/>
    <w:rsid w:val="00AB4C21"/>
    <w:rsid w:val="00AB4FF6"/>
    <w:rsid w:val="00AB5A97"/>
    <w:rsid w:val="00AB5C15"/>
    <w:rsid w:val="00AB5F23"/>
    <w:rsid w:val="00AB6231"/>
    <w:rsid w:val="00AB68F3"/>
    <w:rsid w:val="00AB6B63"/>
    <w:rsid w:val="00AB7490"/>
    <w:rsid w:val="00AC05D7"/>
    <w:rsid w:val="00AD13E1"/>
    <w:rsid w:val="00AD2605"/>
    <w:rsid w:val="00AD5613"/>
    <w:rsid w:val="00AD629C"/>
    <w:rsid w:val="00AD7ACC"/>
    <w:rsid w:val="00AE1B8E"/>
    <w:rsid w:val="00AE3470"/>
    <w:rsid w:val="00AE46FB"/>
    <w:rsid w:val="00AE484F"/>
    <w:rsid w:val="00AE4A73"/>
    <w:rsid w:val="00AE53CB"/>
    <w:rsid w:val="00AE549A"/>
    <w:rsid w:val="00AE64C3"/>
    <w:rsid w:val="00AE730C"/>
    <w:rsid w:val="00AE7D2F"/>
    <w:rsid w:val="00AF01B9"/>
    <w:rsid w:val="00AF02E2"/>
    <w:rsid w:val="00AF0D9B"/>
    <w:rsid w:val="00AF144B"/>
    <w:rsid w:val="00AF2BEA"/>
    <w:rsid w:val="00AF318B"/>
    <w:rsid w:val="00AF336E"/>
    <w:rsid w:val="00AF33AE"/>
    <w:rsid w:val="00AF4D57"/>
    <w:rsid w:val="00AF668C"/>
    <w:rsid w:val="00AF6ABE"/>
    <w:rsid w:val="00B0026B"/>
    <w:rsid w:val="00B00391"/>
    <w:rsid w:val="00B01162"/>
    <w:rsid w:val="00B01350"/>
    <w:rsid w:val="00B01C15"/>
    <w:rsid w:val="00B028B5"/>
    <w:rsid w:val="00B02F05"/>
    <w:rsid w:val="00B04903"/>
    <w:rsid w:val="00B05987"/>
    <w:rsid w:val="00B0687F"/>
    <w:rsid w:val="00B07A61"/>
    <w:rsid w:val="00B100BE"/>
    <w:rsid w:val="00B1058D"/>
    <w:rsid w:val="00B116C8"/>
    <w:rsid w:val="00B11923"/>
    <w:rsid w:val="00B11EDB"/>
    <w:rsid w:val="00B13A61"/>
    <w:rsid w:val="00B15208"/>
    <w:rsid w:val="00B17AD3"/>
    <w:rsid w:val="00B2046A"/>
    <w:rsid w:val="00B20FEC"/>
    <w:rsid w:val="00B21165"/>
    <w:rsid w:val="00B21D9D"/>
    <w:rsid w:val="00B227D1"/>
    <w:rsid w:val="00B24C6E"/>
    <w:rsid w:val="00B24D26"/>
    <w:rsid w:val="00B25690"/>
    <w:rsid w:val="00B26371"/>
    <w:rsid w:val="00B27F45"/>
    <w:rsid w:val="00B31DD1"/>
    <w:rsid w:val="00B32518"/>
    <w:rsid w:val="00B32CD0"/>
    <w:rsid w:val="00B331D8"/>
    <w:rsid w:val="00B34455"/>
    <w:rsid w:val="00B344B7"/>
    <w:rsid w:val="00B35467"/>
    <w:rsid w:val="00B357B6"/>
    <w:rsid w:val="00B35D89"/>
    <w:rsid w:val="00B36E82"/>
    <w:rsid w:val="00B40358"/>
    <w:rsid w:val="00B4070C"/>
    <w:rsid w:val="00B40825"/>
    <w:rsid w:val="00B40852"/>
    <w:rsid w:val="00B423D2"/>
    <w:rsid w:val="00B42798"/>
    <w:rsid w:val="00B432EE"/>
    <w:rsid w:val="00B4366E"/>
    <w:rsid w:val="00B43A1B"/>
    <w:rsid w:val="00B43CFF"/>
    <w:rsid w:val="00B4525E"/>
    <w:rsid w:val="00B45511"/>
    <w:rsid w:val="00B47DC8"/>
    <w:rsid w:val="00B47FBA"/>
    <w:rsid w:val="00B51D6B"/>
    <w:rsid w:val="00B53656"/>
    <w:rsid w:val="00B542C6"/>
    <w:rsid w:val="00B562EB"/>
    <w:rsid w:val="00B6251D"/>
    <w:rsid w:val="00B634AA"/>
    <w:rsid w:val="00B63A12"/>
    <w:rsid w:val="00B6597F"/>
    <w:rsid w:val="00B66352"/>
    <w:rsid w:val="00B66D72"/>
    <w:rsid w:val="00B71A96"/>
    <w:rsid w:val="00B7296D"/>
    <w:rsid w:val="00B731D1"/>
    <w:rsid w:val="00B755AF"/>
    <w:rsid w:val="00B765AF"/>
    <w:rsid w:val="00B768C4"/>
    <w:rsid w:val="00B81837"/>
    <w:rsid w:val="00B8279C"/>
    <w:rsid w:val="00B828CD"/>
    <w:rsid w:val="00B82CAB"/>
    <w:rsid w:val="00B84074"/>
    <w:rsid w:val="00B8417C"/>
    <w:rsid w:val="00B841CB"/>
    <w:rsid w:val="00B84339"/>
    <w:rsid w:val="00B86927"/>
    <w:rsid w:val="00B8698C"/>
    <w:rsid w:val="00B86F7C"/>
    <w:rsid w:val="00B86F90"/>
    <w:rsid w:val="00B87B23"/>
    <w:rsid w:val="00B919F1"/>
    <w:rsid w:val="00B92C74"/>
    <w:rsid w:val="00B944FA"/>
    <w:rsid w:val="00B959A7"/>
    <w:rsid w:val="00B9624E"/>
    <w:rsid w:val="00B96E45"/>
    <w:rsid w:val="00B978DC"/>
    <w:rsid w:val="00BA0CCC"/>
    <w:rsid w:val="00BA2AC1"/>
    <w:rsid w:val="00BA2C99"/>
    <w:rsid w:val="00BA2DD4"/>
    <w:rsid w:val="00BA3101"/>
    <w:rsid w:val="00BA349E"/>
    <w:rsid w:val="00BA3706"/>
    <w:rsid w:val="00BA3903"/>
    <w:rsid w:val="00BA6457"/>
    <w:rsid w:val="00BA667F"/>
    <w:rsid w:val="00BA7533"/>
    <w:rsid w:val="00BB04D7"/>
    <w:rsid w:val="00BB0555"/>
    <w:rsid w:val="00BB0B1E"/>
    <w:rsid w:val="00BB2506"/>
    <w:rsid w:val="00BB291D"/>
    <w:rsid w:val="00BB2CAE"/>
    <w:rsid w:val="00BB3095"/>
    <w:rsid w:val="00BB46BE"/>
    <w:rsid w:val="00BB4AC7"/>
    <w:rsid w:val="00BB5FB0"/>
    <w:rsid w:val="00BB6133"/>
    <w:rsid w:val="00BB72F0"/>
    <w:rsid w:val="00BC09F8"/>
    <w:rsid w:val="00BC127A"/>
    <w:rsid w:val="00BC197B"/>
    <w:rsid w:val="00BC1C26"/>
    <w:rsid w:val="00BC2E18"/>
    <w:rsid w:val="00BC4241"/>
    <w:rsid w:val="00BC5C11"/>
    <w:rsid w:val="00BC5D1B"/>
    <w:rsid w:val="00BC6480"/>
    <w:rsid w:val="00BD142A"/>
    <w:rsid w:val="00BD1B19"/>
    <w:rsid w:val="00BD4385"/>
    <w:rsid w:val="00BD4554"/>
    <w:rsid w:val="00BD4A2E"/>
    <w:rsid w:val="00BD55E3"/>
    <w:rsid w:val="00BD6533"/>
    <w:rsid w:val="00BD656B"/>
    <w:rsid w:val="00BD6C9C"/>
    <w:rsid w:val="00BD7482"/>
    <w:rsid w:val="00BE070D"/>
    <w:rsid w:val="00BE0B6A"/>
    <w:rsid w:val="00BE207B"/>
    <w:rsid w:val="00BE22DB"/>
    <w:rsid w:val="00BE2459"/>
    <w:rsid w:val="00BE46EE"/>
    <w:rsid w:val="00BE6416"/>
    <w:rsid w:val="00BE65AC"/>
    <w:rsid w:val="00BE7509"/>
    <w:rsid w:val="00BE7CA5"/>
    <w:rsid w:val="00BF0FC3"/>
    <w:rsid w:val="00BF226B"/>
    <w:rsid w:val="00BF267C"/>
    <w:rsid w:val="00BF2967"/>
    <w:rsid w:val="00BF2A52"/>
    <w:rsid w:val="00BF339A"/>
    <w:rsid w:val="00BF4699"/>
    <w:rsid w:val="00BF790B"/>
    <w:rsid w:val="00C0075F"/>
    <w:rsid w:val="00C01DE2"/>
    <w:rsid w:val="00C01F0B"/>
    <w:rsid w:val="00C020AE"/>
    <w:rsid w:val="00C02A6D"/>
    <w:rsid w:val="00C02D98"/>
    <w:rsid w:val="00C03033"/>
    <w:rsid w:val="00C030FB"/>
    <w:rsid w:val="00C036C9"/>
    <w:rsid w:val="00C03D0D"/>
    <w:rsid w:val="00C04182"/>
    <w:rsid w:val="00C05B22"/>
    <w:rsid w:val="00C10C1D"/>
    <w:rsid w:val="00C12DD2"/>
    <w:rsid w:val="00C13A04"/>
    <w:rsid w:val="00C156C1"/>
    <w:rsid w:val="00C16E01"/>
    <w:rsid w:val="00C20982"/>
    <w:rsid w:val="00C20FEB"/>
    <w:rsid w:val="00C2166B"/>
    <w:rsid w:val="00C22C6F"/>
    <w:rsid w:val="00C23E02"/>
    <w:rsid w:val="00C24424"/>
    <w:rsid w:val="00C24821"/>
    <w:rsid w:val="00C25CD0"/>
    <w:rsid w:val="00C26111"/>
    <w:rsid w:val="00C30CDE"/>
    <w:rsid w:val="00C35450"/>
    <w:rsid w:val="00C36415"/>
    <w:rsid w:val="00C364D4"/>
    <w:rsid w:val="00C364FE"/>
    <w:rsid w:val="00C40195"/>
    <w:rsid w:val="00C41F4E"/>
    <w:rsid w:val="00C42958"/>
    <w:rsid w:val="00C42B39"/>
    <w:rsid w:val="00C42B6F"/>
    <w:rsid w:val="00C441BF"/>
    <w:rsid w:val="00C44E2B"/>
    <w:rsid w:val="00C47A8F"/>
    <w:rsid w:val="00C50E73"/>
    <w:rsid w:val="00C518E6"/>
    <w:rsid w:val="00C51F7D"/>
    <w:rsid w:val="00C52EB4"/>
    <w:rsid w:val="00C56535"/>
    <w:rsid w:val="00C5713B"/>
    <w:rsid w:val="00C57A6E"/>
    <w:rsid w:val="00C60517"/>
    <w:rsid w:val="00C60C6E"/>
    <w:rsid w:val="00C616FC"/>
    <w:rsid w:val="00C6221F"/>
    <w:rsid w:val="00C623E3"/>
    <w:rsid w:val="00C628E5"/>
    <w:rsid w:val="00C62EA5"/>
    <w:rsid w:val="00C63B08"/>
    <w:rsid w:val="00C649D3"/>
    <w:rsid w:val="00C6561C"/>
    <w:rsid w:val="00C663EB"/>
    <w:rsid w:val="00C67303"/>
    <w:rsid w:val="00C67E48"/>
    <w:rsid w:val="00C67F97"/>
    <w:rsid w:val="00C703FA"/>
    <w:rsid w:val="00C73C76"/>
    <w:rsid w:val="00C7578D"/>
    <w:rsid w:val="00C75EC2"/>
    <w:rsid w:val="00C76BA2"/>
    <w:rsid w:val="00C77BAA"/>
    <w:rsid w:val="00C80365"/>
    <w:rsid w:val="00C811C3"/>
    <w:rsid w:val="00C8157D"/>
    <w:rsid w:val="00C81E93"/>
    <w:rsid w:val="00C8220E"/>
    <w:rsid w:val="00C82FA2"/>
    <w:rsid w:val="00C8329F"/>
    <w:rsid w:val="00C836E8"/>
    <w:rsid w:val="00C85356"/>
    <w:rsid w:val="00C853AD"/>
    <w:rsid w:val="00C86B3B"/>
    <w:rsid w:val="00C86BC8"/>
    <w:rsid w:val="00C8700D"/>
    <w:rsid w:val="00C92239"/>
    <w:rsid w:val="00C9238F"/>
    <w:rsid w:val="00C92540"/>
    <w:rsid w:val="00C92C39"/>
    <w:rsid w:val="00C93952"/>
    <w:rsid w:val="00C93C10"/>
    <w:rsid w:val="00C94C8B"/>
    <w:rsid w:val="00C95CFD"/>
    <w:rsid w:val="00C97077"/>
    <w:rsid w:val="00C9710B"/>
    <w:rsid w:val="00C973F3"/>
    <w:rsid w:val="00C97983"/>
    <w:rsid w:val="00CA007A"/>
    <w:rsid w:val="00CA065F"/>
    <w:rsid w:val="00CA26F4"/>
    <w:rsid w:val="00CA2AA4"/>
    <w:rsid w:val="00CA2F94"/>
    <w:rsid w:val="00CA450A"/>
    <w:rsid w:val="00CA6038"/>
    <w:rsid w:val="00CB228A"/>
    <w:rsid w:val="00CB2545"/>
    <w:rsid w:val="00CB2C1E"/>
    <w:rsid w:val="00CB2CDF"/>
    <w:rsid w:val="00CB4017"/>
    <w:rsid w:val="00CB4D63"/>
    <w:rsid w:val="00CB5071"/>
    <w:rsid w:val="00CB5A64"/>
    <w:rsid w:val="00CC0631"/>
    <w:rsid w:val="00CC198D"/>
    <w:rsid w:val="00CC1B0E"/>
    <w:rsid w:val="00CC1D77"/>
    <w:rsid w:val="00CC369B"/>
    <w:rsid w:val="00CC63FC"/>
    <w:rsid w:val="00CC6738"/>
    <w:rsid w:val="00CC67D0"/>
    <w:rsid w:val="00CC779C"/>
    <w:rsid w:val="00CD037A"/>
    <w:rsid w:val="00CD0444"/>
    <w:rsid w:val="00CD14DA"/>
    <w:rsid w:val="00CD239A"/>
    <w:rsid w:val="00CD2EE0"/>
    <w:rsid w:val="00CD3EE0"/>
    <w:rsid w:val="00CD41EC"/>
    <w:rsid w:val="00CD435E"/>
    <w:rsid w:val="00CD461D"/>
    <w:rsid w:val="00CD5A1D"/>
    <w:rsid w:val="00CE0AAA"/>
    <w:rsid w:val="00CE1133"/>
    <w:rsid w:val="00CE1451"/>
    <w:rsid w:val="00CE196A"/>
    <w:rsid w:val="00CE202D"/>
    <w:rsid w:val="00CE22B0"/>
    <w:rsid w:val="00CE2872"/>
    <w:rsid w:val="00CE36F7"/>
    <w:rsid w:val="00CE3C20"/>
    <w:rsid w:val="00CE3E6E"/>
    <w:rsid w:val="00CE3F2A"/>
    <w:rsid w:val="00CE490D"/>
    <w:rsid w:val="00CE5122"/>
    <w:rsid w:val="00CE5AAE"/>
    <w:rsid w:val="00CE6FB9"/>
    <w:rsid w:val="00CF0439"/>
    <w:rsid w:val="00CF16A1"/>
    <w:rsid w:val="00CF332F"/>
    <w:rsid w:val="00CF3830"/>
    <w:rsid w:val="00CF45D7"/>
    <w:rsid w:val="00CF655E"/>
    <w:rsid w:val="00CF6903"/>
    <w:rsid w:val="00D0168A"/>
    <w:rsid w:val="00D035DB"/>
    <w:rsid w:val="00D04300"/>
    <w:rsid w:val="00D050F5"/>
    <w:rsid w:val="00D05AB9"/>
    <w:rsid w:val="00D06A0C"/>
    <w:rsid w:val="00D06B45"/>
    <w:rsid w:val="00D126E3"/>
    <w:rsid w:val="00D13510"/>
    <w:rsid w:val="00D13B33"/>
    <w:rsid w:val="00D15068"/>
    <w:rsid w:val="00D15B2D"/>
    <w:rsid w:val="00D17C32"/>
    <w:rsid w:val="00D2029F"/>
    <w:rsid w:val="00D2221B"/>
    <w:rsid w:val="00D231C2"/>
    <w:rsid w:val="00D23368"/>
    <w:rsid w:val="00D23464"/>
    <w:rsid w:val="00D2472A"/>
    <w:rsid w:val="00D2498E"/>
    <w:rsid w:val="00D26133"/>
    <w:rsid w:val="00D27AC5"/>
    <w:rsid w:val="00D30E73"/>
    <w:rsid w:val="00D311B4"/>
    <w:rsid w:val="00D313AD"/>
    <w:rsid w:val="00D313DD"/>
    <w:rsid w:val="00D3157C"/>
    <w:rsid w:val="00D3585D"/>
    <w:rsid w:val="00D36AA2"/>
    <w:rsid w:val="00D36BB4"/>
    <w:rsid w:val="00D37028"/>
    <w:rsid w:val="00D40073"/>
    <w:rsid w:val="00D40BF1"/>
    <w:rsid w:val="00D40CC7"/>
    <w:rsid w:val="00D414C8"/>
    <w:rsid w:val="00D4195A"/>
    <w:rsid w:val="00D43B94"/>
    <w:rsid w:val="00D4562D"/>
    <w:rsid w:val="00D457D2"/>
    <w:rsid w:val="00D460A0"/>
    <w:rsid w:val="00D47CB6"/>
    <w:rsid w:val="00D511E4"/>
    <w:rsid w:val="00D52D4D"/>
    <w:rsid w:val="00D53745"/>
    <w:rsid w:val="00D544BC"/>
    <w:rsid w:val="00D557A5"/>
    <w:rsid w:val="00D55BA0"/>
    <w:rsid w:val="00D568CE"/>
    <w:rsid w:val="00D56BF9"/>
    <w:rsid w:val="00D574FE"/>
    <w:rsid w:val="00D61A80"/>
    <w:rsid w:val="00D63944"/>
    <w:rsid w:val="00D64BBD"/>
    <w:rsid w:val="00D64CEE"/>
    <w:rsid w:val="00D6542D"/>
    <w:rsid w:val="00D658D7"/>
    <w:rsid w:val="00D6747D"/>
    <w:rsid w:val="00D674A2"/>
    <w:rsid w:val="00D67533"/>
    <w:rsid w:val="00D67B28"/>
    <w:rsid w:val="00D67BCE"/>
    <w:rsid w:val="00D703CA"/>
    <w:rsid w:val="00D70486"/>
    <w:rsid w:val="00D70D4B"/>
    <w:rsid w:val="00D713CC"/>
    <w:rsid w:val="00D71552"/>
    <w:rsid w:val="00D72834"/>
    <w:rsid w:val="00D73620"/>
    <w:rsid w:val="00D73C30"/>
    <w:rsid w:val="00D73E0C"/>
    <w:rsid w:val="00D740AB"/>
    <w:rsid w:val="00D772D0"/>
    <w:rsid w:val="00D81A1E"/>
    <w:rsid w:val="00D835D7"/>
    <w:rsid w:val="00D85237"/>
    <w:rsid w:val="00D8541D"/>
    <w:rsid w:val="00D87746"/>
    <w:rsid w:val="00D87BF3"/>
    <w:rsid w:val="00D9074F"/>
    <w:rsid w:val="00D90ADD"/>
    <w:rsid w:val="00D916D2"/>
    <w:rsid w:val="00D9319D"/>
    <w:rsid w:val="00D933F6"/>
    <w:rsid w:val="00D9365E"/>
    <w:rsid w:val="00D94FFC"/>
    <w:rsid w:val="00D95704"/>
    <w:rsid w:val="00D95AA5"/>
    <w:rsid w:val="00D960D3"/>
    <w:rsid w:val="00D963D8"/>
    <w:rsid w:val="00D96A2B"/>
    <w:rsid w:val="00D977BD"/>
    <w:rsid w:val="00D979C0"/>
    <w:rsid w:val="00DA024D"/>
    <w:rsid w:val="00DA036A"/>
    <w:rsid w:val="00DA0F09"/>
    <w:rsid w:val="00DA36A4"/>
    <w:rsid w:val="00DA3F56"/>
    <w:rsid w:val="00DA56D6"/>
    <w:rsid w:val="00DA78DA"/>
    <w:rsid w:val="00DB09B1"/>
    <w:rsid w:val="00DB0D8B"/>
    <w:rsid w:val="00DB219B"/>
    <w:rsid w:val="00DB2365"/>
    <w:rsid w:val="00DB3E43"/>
    <w:rsid w:val="00DB627B"/>
    <w:rsid w:val="00DB6570"/>
    <w:rsid w:val="00DB6D53"/>
    <w:rsid w:val="00DB7320"/>
    <w:rsid w:val="00DB7668"/>
    <w:rsid w:val="00DC0631"/>
    <w:rsid w:val="00DC0A4E"/>
    <w:rsid w:val="00DC2EC6"/>
    <w:rsid w:val="00DC336C"/>
    <w:rsid w:val="00DC73D6"/>
    <w:rsid w:val="00DC78CC"/>
    <w:rsid w:val="00DD0B76"/>
    <w:rsid w:val="00DD0EAA"/>
    <w:rsid w:val="00DD0ED6"/>
    <w:rsid w:val="00DD2F68"/>
    <w:rsid w:val="00DD2FC4"/>
    <w:rsid w:val="00DD3185"/>
    <w:rsid w:val="00DD38F6"/>
    <w:rsid w:val="00DD5F49"/>
    <w:rsid w:val="00DD7750"/>
    <w:rsid w:val="00DD7E3B"/>
    <w:rsid w:val="00DE01EF"/>
    <w:rsid w:val="00DE1CAA"/>
    <w:rsid w:val="00DE1CF5"/>
    <w:rsid w:val="00DE1EEF"/>
    <w:rsid w:val="00DE49DA"/>
    <w:rsid w:val="00DE5695"/>
    <w:rsid w:val="00DE5A71"/>
    <w:rsid w:val="00DF0126"/>
    <w:rsid w:val="00DF283D"/>
    <w:rsid w:val="00DF32E0"/>
    <w:rsid w:val="00DF35EB"/>
    <w:rsid w:val="00DF4349"/>
    <w:rsid w:val="00DF4B77"/>
    <w:rsid w:val="00DF4D99"/>
    <w:rsid w:val="00DF60C3"/>
    <w:rsid w:val="00DF6294"/>
    <w:rsid w:val="00E00193"/>
    <w:rsid w:val="00E00BA4"/>
    <w:rsid w:val="00E00E0A"/>
    <w:rsid w:val="00E02735"/>
    <w:rsid w:val="00E05E45"/>
    <w:rsid w:val="00E1023B"/>
    <w:rsid w:val="00E10940"/>
    <w:rsid w:val="00E10FDB"/>
    <w:rsid w:val="00E114E6"/>
    <w:rsid w:val="00E11795"/>
    <w:rsid w:val="00E1297D"/>
    <w:rsid w:val="00E12FC1"/>
    <w:rsid w:val="00E1485D"/>
    <w:rsid w:val="00E14E28"/>
    <w:rsid w:val="00E1510A"/>
    <w:rsid w:val="00E16A37"/>
    <w:rsid w:val="00E16B58"/>
    <w:rsid w:val="00E17882"/>
    <w:rsid w:val="00E17C52"/>
    <w:rsid w:val="00E223E1"/>
    <w:rsid w:val="00E22A19"/>
    <w:rsid w:val="00E307DB"/>
    <w:rsid w:val="00E31BF2"/>
    <w:rsid w:val="00E31CB1"/>
    <w:rsid w:val="00E31CEC"/>
    <w:rsid w:val="00E349BF"/>
    <w:rsid w:val="00E35070"/>
    <w:rsid w:val="00E369C7"/>
    <w:rsid w:val="00E370B5"/>
    <w:rsid w:val="00E40D28"/>
    <w:rsid w:val="00E41334"/>
    <w:rsid w:val="00E41701"/>
    <w:rsid w:val="00E432F7"/>
    <w:rsid w:val="00E435C8"/>
    <w:rsid w:val="00E440AC"/>
    <w:rsid w:val="00E45984"/>
    <w:rsid w:val="00E464D6"/>
    <w:rsid w:val="00E5103A"/>
    <w:rsid w:val="00E5149B"/>
    <w:rsid w:val="00E51A51"/>
    <w:rsid w:val="00E5208B"/>
    <w:rsid w:val="00E537FF"/>
    <w:rsid w:val="00E54A8F"/>
    <w:rsid w:val="00E54BDD"/>
    <w:rsid w:val="00E558A7"/>
    <w:rsid w:val="00E5596A"/>
    <w:rsid w:val="00E564EC"/>
    <w:rsid w:val="00E56793"/>
    <w:rsid w:val="00E57CFA"/>
    <w:rsid w:val="00E61621"/>
    <w:rsid w:val="00E61724"/>
    <w:rsid w:val="00E6255B"/>
    <w:rsid w:val="00E62E1F"/>
    <w:rsid w:val="00E6442F"/>
    <w:rsid w:val="00E64463"/>
    <w:rsid w:val="00E66651"/>
    <w:rsid w:val="00E67AD2"/>
    <w:rsid w:val="00E7157B"/>
    <w:rsid w:val="00E719E9"/>
    <w:rsid w:val="00E71FD2"/>
    <w:rsid w:val="00E734A2"/>
    <w:rsid w:val="00E76B7C"/>
    <w:rsid w:val="00E77096"/>
    <w:rsid w:val="00E803E9"/>
    <w:rsid w:val="00E807F3"/>
    <w:rsid w:val="00E84593"/>
    <w:rsid w:val="00E8508D"/>
    <w:rsid w:val="00E86693"/>
    <w:rsid w:val="00E875D5"/>
    <w:rsid w:val="00E90A77"/>
    <w:rsid w:val="00E912F0"/>
    <w:rsid w:val="00E91413"/>
    <w:rsid w:val="00E931A9"/>
    <w:rsid w:val="00E93749"/>
    <w:rsid w:val="00E9487D"/>
    <w:rsid w:val="00E9535B"/>
    <w:rsid w:val="00E955FC"/>
    <w:rsid w:val="00E9663D"/>
    <w:rsid w:val="00EA0CE3"/>
    <w:rsid w:val="00EA12F1"/>
    <w:rsid w:val="00EA167D"/>
    <w:rsid w:val="00EA1BF6"/>
    <w:rsid w:val="00EA20E6"/>
    <w:rsid w:val="00EA2754"/>
    <w:rsid w:val="00EA37F0"/>
    <w:rsid w:val="00EA5945"/>
    <w:rsid w:val="00EA5C6A"/>
    <w:rsid w:val="00EA69F7"/>
    <w:rsid w:val="00EA76C0"/>
    <w:rsid w:val="00EB0EFB"/>
    <w:rsid w:val="00EB164E"/>
    <w:rsid w:val="00EB1817"/>
    <w:rsid w:val="00EB1DF5"/>
    <w:rsid w:val="00EB35B0"/>
    <w:rsid w:val="00EB524E"/>
    <w:rsid w:val="00EB52FF"/>
    <w:rsid w:val="00EB5C86"/>
    <w:rsid w:val="00EC11D5"/>
    <w:rsid w:val="00EC29AC"/>
    <w:rsid w:val="00ED17B9"/>
    <w:rsid w:val="00ED1D9D"/>
    <w:rsid w:val="00ED25AD"/>
    <w:rsid w:val="00ED2AEF"/>
    <w:rsid w:val="00ED2EF8"/>
    <w:rsid w:val="00ED4683"/>
    <w:rsid w:val="00ED5107"/>
    <w:rsid w:val="00ED6063"/>
    <w:rsid w:val="00ED64F5"/>
    <w:rsid w:val="00EE0D05"/>
    <w:rsid w:val="00EE144E"/>
    <w:rsid w:val="00EE199E"/>
    <w:rsid w:val="00EE297E"/>
    <w:rsid w:val="00EE2C31"/>
    <w:rsid w:val="00EE40A5"/>
    <w:rsid w:val="00EE50AF"/>
    <w:rsid w:val="00EE53F3"/>
    <w:rsid w:val="00EE5B45"/>
    <w:rsid w:val="00EE5FE3"/>
    <w:rsid w:val="00EE6390"/>
    <w:rsid w:val="00EE6B4D"/>
    <w:rsid w:val="00EE6FEC"/>
    <w:rsid w:val="00EF0BAD"/>
    <w:rsid w:val="00EF1400"/>
    <w:rsid w:val="00EF19C3"/>
    <w:rsid w:val="00EF20A6"/>
    <w:rsid w:val="00EF2AC0"/>
    <w:rsid w:val="00EF2EA4"/>
    <w:rsid w:val="00EF516D"/>
    <w:rsid w:val="00EF667B"/>
    <w:rsid w:val="00EF6D24"/>
    <w:rsid w:val="00EF6E79"/>
    <w:rsid w:val="00F017AF"/>
    <w:rsid w:val="00F01858"/>
    <w:rsid w:val="00F032D3"/>
    <w:rsid w:val="00F0622D"/>
    <w:rsid w:val="00F0643D"/>
    <w:rsid w:val="00F066E9"/>
    <w:rsid w:val="00F07DF6"/>
    <w:rsid w:val="00F113B1"/>
    <w:rsid w:val="00F11DD0"/>
    <w:rsid w:val="00F128C3"/>
    <w:rsid w:val="00F12E25"/>
    <w:rsid w:val="00F13958"/>
    <w:rsid w:val="00F15585"/>
    <w:rsid w:val="00F155BB"/>
    <w:rsid w:val="00F15E3B"/>
    <w:rsid w:val="00F20D66"/>
    <w:rsid w:val="00F21241"/>
    <w:rsid w:val="00F2294B"/>
    <w:rsid w:val="00F24585"/>
    <w:rsid w:val="00F261E0"/>
    <w:rsid w:val="00F27669"/>
    <w:rsid w:val="00F278C3"/>
    <w:rsid w:val="00F309E8"/>
    <w:rsid w:val="00F30EF8"/>
    <w:rsid w:val="00F315BE"/>
    <w:rsid w:val="00F31B4D"/>
    <w:rsid w:val="00F31E0B"/>
    <w:rsid w:val="00F33565"/>
    <w:rsid w:val="00F336D0"/>
    <w:rsid w:val="00F343F3"/>
    <w:rsid w:val="00F3473D"/>
    <w:rsid w:val="00F34A84"/>
    <w:rsid w:val="00F34BEA"/>
    <w:rsid w:val="00F34EFC"/>
    <w:rsid w:val="00F36A43"/>
    <w:rsid w:val="00F370F9"/>
    <w:rsid w:val="00F3712B"/>
    <w:rsid w:val="00F377AE"/>
    <w:rsid w:val="00F40362"/>
    <w:rsid w:val="00F40C33"/>
    <w:rsid w:val="00F417A7"/>
    <w:rsid w:val="00F43A3D"/>
    <w:rsid w:val="00F43A79"/>
    <w:rsid w:val="00F44209"/>
    <w:rsid w:val="00F44A1B"/>
    <w:rsid w:val="00F45548"/>
    <w:rsid w:val="00F45936"/>
    <w:rsid w:val="00F460A2"/>
    <w:rsid w:val="00F46C9D"/>
    <w:rsid w:val="00F474B1"/>
    <w:rsid w:val="00F475D6"/>
    <w:rsid w:val="00F478A4"/>
    <w:rsid w:val="00F51355"/>
    <w:rsid w:val="00F5147D"/>
    <w:rsid w:val="00F51C38"/>
    <w:rsid w:val="00F521BF"/>
    <w:rsid w:val="00F52226"/>
    <w:rsid w:val="00F526BB"/>
    <w:rsid w:val="00F535C1"/>
    <w:rsid w:val="00F53630"/>
    <w:rsid w:val="00F55E55"/>
    <w:rsid w:val="00F568AE"/>
    <w:rsid w:val="00F60A59"/>
    <w:rsid w:val="00F6291D"/>
    <w:rsid w:val="00F629FD"/>
    <w:rsid w:val="00F62C62"/>
    <w:rsid w:val="00F62D81"/>
    <w:rsid w:val="00F62E19"/>
    <w:rsid w:val="00F63790"/>
    <w:rsid w:val="00F637F5"/>
    <w:rsid w:val="00F65752"/>
    <w:rsid w:val="00F65B28"/>
    <w:rsid w:val="00F6668C"/>
    <w:rsid w:val="00F67108"/>
    <w:rsid w:val="00F70F7C"/>
    <w:rsid w:val="00F71780"/>
    <w:rsid w:val="00F7535D"/>
    <w:rsid w:val="00F75905"/>
    <w:rsid w:val="00F76012"/>
    <w:rsid w:val="00F7639F"/>
    <w:rsid w:val="00F7676C"/>
    <w:rsid w:val="00F76809"/>
    <w:rsid w:val="00F77049"/>
    <w:rsid w:val="00F777DD"/>
    <w:rsid w:val="00F779B0"/>
    <w:rsid w:val="00F81189"/>
    <w:rsid w:val="00F814EF"/>
    <w:rsid w:val="00F819E3"/>
    <w:rsid w:val="00F82F0B"/>
    <w:rsid w:val="00F831F1"/>
    <w:rsid w:val="00F8348B"/>
    <w:rsid w:val="00F83F64"/>
    <w:rsid w:val="00F849A0"/>
    <w:rsid w:val="00F84B03"/>
    <w:rsid w:val="00F8524A"/>
    <w:rsid w:val="00F852D1"/>
    <w:rsid w:val="00F8605F"/>
    <w:rsid w:val="00F8666D"/>
    <w:rsid w:val="00F874BB"/>
    <w:rsid w:val="00F90311"/>
    <w:rsid w:val="00F907ED"/>
    <w:rsid w:val="00F93A61"/>
    <w:rsid w:val="00F94031"/>
    <w:rsid w:val="00F941A1"/>
    <w:rsid w:val="00FA1802"/>
    <w:rsid w:val="00FA20E2"/>
    <w:rsid w:val="00FA2822"/>
    <w:rsid w:val="00FA3AA4"/>
    <w:rsid w:val="00FA3E6B"/>
    <w:rsid w:val="00FA448D"/>
    <w:rsid w:val="00FA4F0B"/>
    <w:rsid w:val="00FA5455"/>
    <w:rsid w:val="00FA6A0E"/>
    <w:rsid w:val="00FA718C"/>
    <w:rsid w:val="00FA71CB"/>
    <w:rsid w:val="00FA7CDC"/>
    <w:rsid w:val="00FB1B9D"/>
    <w:rsid w:val="00FB2EEB"/>
    <w:rsid w:val="00FB38A5"/>
    <w:rsid w:val="00FB4373"/>
    <w:rsid w:val="00FB6372"/>
    <w:rsid w:val="00FB6AEB"/>
    <w:rsid w:val="00FB6CF2"/>
    <w:rsid w:val="00FB72B6"/>
    <w:rsid w:val="00FC42C3"/>
    <w:rsid w:val="00FC50D8"/>
    <w:rsid w:val="00FC6DBC"/>
    <w:rsid w:val="00FC7277"/>
    <w:rsid w:val="00FC74C0"/>
    <w:rsid w:val="00FD004A"/>
    <w:rsid w:val="00FD1361"/>
    <w:rsid w:val="00FD1C8A"/>
    <w:rsid w:val="00FD3044"/>
    <w:rsid w:val="00FD3F27"/>
    <w:rsid w:val="00FD6D9F"/>
    <w:rsid w:val="00FD6E63"/>
    <w:rsid w:val="00FE0673"/>
    <w:rsid w:val="00FE1851"/>
    <w:rsid w:val="00FE2523"/>
    <w:rsid w:val="00FE2D88"/>
    <w:rsid w:val="00FE2E15"/>
    <w:rsid w:val="00FE2F2F"/>
    <w:rsid w:val="00FE408C"/>
    <w:rsid w:val="00FE49DA"/>
    <w:rsid w:val="00FE517C"/>
    <w:rsid w:val="00FE56AA"/>
    <w:rsid w:val="00FE5DC7"/>
    <w:rsid w:val="00FE6A17"/>
    <w:rsid w:val="00FE6AD0"/>
    <w:rsid w:val="00FE75DC"/>
    <w:rsid w:val="00FF10BF"/>
    <w:rsid w:val="00FF187E"/>
    <w:rsid w:val="00FF21CE"/>
    <w:rsid w:val="00FF5A44"/>
    <w:rsid w:val="00FF68C9"/>
    <w:rsid w:val="00FF7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33AABC1C"/>
  <w15:docId w15:val="{B41BBEB9-CE7D-4434-B504-C3F367F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744"/>
      <w:jc w:val="right"/>
      <w:outlineLvl w:val="0"/>
    </w:pPr>
    <w:rPr>
      <w:b/>
      <w:sz w:val="28"/>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left" w:pos="-436"/>
        <w:tab w:val="left" w:pos="0"/>
        <w:tab w:val="left" w:pos="1357"/>
        <w:tab w:val="left" w:pos="4981"/>
        <w:tab w:val="left" w:pos="6120"/>
        <w:tab w:val="decimal" w:pos="7200"/>
        <w:tab w:val="left" w:pos="7560"/>
        <w:tab w:val="decimal" w:pos="8640"/>
        <w:tab w:val="left" w:pos="9360"/>
      </w:tabs>
      <w:outlineLvl w:val="2"/>
    </w:pPr>
    <w:rPr>
      <w:rFonts w:ascii="Arial" w:hAnsi="Arial"/>
      <w:b/>
      <w:i/>
      <w:sz w:val="24"/>
      <w:lang w:val="en-GB"/>
    </w:rPr>
  </w:style>
  <w:style w:type="paragraph" w:styleId="Heading4">
    <w:name w:val="heading 4"/>
    <w:basedOn w:val="Normal"/>
    <w:next w:val="Normal"/>
    <w:qFormat/>
    <w:pPr>
      <w:keepNext/>
      <w:widowControl w:val="0"/>
      <w:tabs>
        <w:tab w:val="left" w:pos="360"/>
        <w:tab w:val="left" w:pos="7459"/>
        <w:tab w:val="decimal" w:pos="8467"/>
        <w:tab w:val="left" w:pos="8726"/>
        <w:tab w:val="decimal" w:pos="9720"/>
      </w:tabs>
      <w:outlineLvl w:val="3"/>
    </w:pPr>
    <w:rPr>
      <w:b/>
      <w:lang w:val="en-G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widowControl w:val="0"/>
      <w:jc w:val="right"/>
      <w:outlineLvl w:val="5"/>
    </w:pPr>
    <w:rPr>
      <w:rFonts w:ascii="Times New Roman Bold" w:hAnsi="Times New Roman Bold"/>
      <w:b/>
      <w:sz w:val="52"/>
    </w:rPr>
  </w:style>
  <w:style w:type="paragraph" w:styleId="Heading7">
    <w:name w:val="heading 7"/>
    <w:basedOn w:val="Normal"/>
    <w:next w:val="Normal"/>
    <w:qFormat/>
    <w:pPr>
      <w:keepNext/>
      <w:jc w:val="both"/>
      <w:outlineLvl w:val="6"/>
    </w:pPr>
    <w:rPr>
      <w:b/>
      <w:sz w:val="24"/>
      <w:szCs w:val="24"/>
    </w:rPr>
  </w:style>
  <w:style w:type="paragraph" w:styleId="Heading8">
    <w:name w:val="heading 8"/>
    <w:basedOn w:val="Normal"/>
    <w:next w:val="Normal"/>
    <w:qFormat/>
    <w:pPr>
      <w:keepNext/>
      <w:jc w:val="center"/>
      <w:outlineLvl w:val="7"/>
    </w:pPr>
    <w:rPr>
      <w:b/>
      <w:bCs/>
      <w:lang w:val="en-GB"/>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432"/>
        <w:tab w:val="left" w:pos="882"/>
      </w:tabs>
      <w:ind w:left="864" w:hanging="432"/>
    </w:pPr>
    <w:rPr>
      <w:sz w:val="18"/>
    </w:r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18"/>
    </w:rPr>
  </w:style>
  <w:style w:type="paragraph" w:styleId="BodyTextIndent">
    <w:name w:val="Body Text Indent"/>
    <w:basedOn w:val="Normal"/>
    <w:pPr>
      <w:tabs>
        <w:tab w:val="left" w:pos="252"/>
        <w:tab w:val="left" w:pos="522"/>
        <w:tab w:val="left" w:pos="792"/>
      </w:tabs>
      <w:ind w:left="522" w:hanging="522"/>
    </w:pPr>
    <w:rPr>
      <w:rFonts w:ascii="Arial" w:hAnsi="Arial"/>
      <w:sz w:val="15"/>
    </w:rPr>
  </w:style>
  <w:style w:type="paragraph" w:styleId="BodyTextIndent2">
    <w:name w:val="Body Text Indent 2"/>
    <w:basedOn w:val="Normal"/>
    <w:pPr>
      <w:tabs>
        <w:tab w:val="left" w:pos="252"/>
        <w:tab w:val="left" w:pos="522"/>
        <w:tab w:val="left" w:pos="792"/>
      </w:tabs>
      <w:ind w:left="252" w:hanging="252"/>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 w:val="left" w:pos="990"/>
        <w:tab w:val="left" w:pos="1260"/>
      </w:tabs>
      <w:autoSpaceDE w:val="0"/>
      <w:autoSpaceDN w:val="0"/>
      <w:adjustRightInd w:val="0"/>
      <w:jc w:val="both"/>
    </w:pPr>
  </w:style>
  <w:style w:type="character" w:styleId="Hyperlink">
    <w:name w:val="Hyperlink"/>
    <w:rPr>
      <w:color w:val="0000FF"/>
      <w:u w:val="single"/>
    </w:rPr>
  </w:style>
  <w:style w:type="paragraph" w:styleId="CommentText">
    <w:name w:val="annotation text"/>
    <w:basedOn w:val="Normal"/>
    <w:semiHidden/>
    <w:pPr>
      <w:overflowPunct w:val="0"/>
      <w:autoSpaceDE w:val="0"/>
      <w:autoSpaceDN w:val="0"/>
      <w:adjustRightInd w:val="0"/>
      <w:textAlignment w:val="baseline"/>
    </w:p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pPr>
      <w:overflowPunct/>
      <w:autoSpaceDE/>
      <w:autoSpaceDN/>
      <w:adjustRightInd/>
      <w:textAlignment w:val="auto"/>
    </w:pPr>
    <w:rPr>
      <w:b/>
      <w:bCs/>
    </w:rPr>
  </w:style>
  <w:style w:type="character" w:styleId="PageNumber">
    <w:name w:val="page number"/>
    <w:basedOn w:val="DefaultParagraphFont"/>
  </w:style>
  <w:style w:type="paragraph" w:customStyle="1" w:styleId="headingnotes">
    <w:name w:val="heading/notes"/>
    <w:aliases w:val="HN"/>
    <w:basedOn w:val="Normal"/>
    <w:rsid w:val="008B4A01"/>
    <w:pPr>
      <w:tabs>
        <w:tab w:val="decimal" w:pos="6380"/>
        <w:tab w:val="decimal" w:pos="7920"/>
      </w:tabs>
      <w:overflowPunct w:val="0"/>
      <w:autoSpaceDE w:val="0"/>
      <w:autoSpaceDN w:val="0"/>
      <w:adjustRightInd w:val="0"/>
      <w:textAlignment w:val="baseline"/>
    </w:pPr>
    <w:rPr>
      <w:b/>
      <w:sz w:val="24"/>
    </w:rPr>
  </w:style>
  <w:style w:type="paragraph" w:customStyle="1" w:styleId="Default">
    <w:name w:val="Default"/>
    <w:rsid w:val="00122C25"/>
    <w:pPr>
      <w:autoSpaceDE w:val="0"/>
      <w:autoSpaceDN w:val="0"/>
      <w:adjustRightInd w:val="0"/>
    </w:pPr>
    <w:rPr>
      <w:rFonts w:ascii="Arial" w:hAnsi="Arial" w:cs="Arial"/>
      <w:color w:val="000000"/>
      <w:sz w:val="24"/>
      <w:szCs w:val="24"/>
      <w:lang w:val="en-US" w:eastAsia="en-US"/>
    </w:rPr>
  </w:style>
  <w:style w:type="paragraph" w:styleId="ListContinue">
    <w:name w:val="List Continue"/>
    <w:basedOn w:val="Normal"/>
    <w:rsid w:val="00122C25"/>
    <w:pPr>
      <w:spacing w:after="120"/>
      <w:ind w:left="360"/>
    </w:pPr>
  </w:style>
  <w:style w:type="paragraph" w:customStyle="1" w:styleId="paragraph">
    <w:name w:val="paragraph"/>
    <w:basedOn w:val="Normal"/>
    <w:rsid w:val="00436AD0"/>
    <w:pPr>
      <w:spacing w:before="86" w:after="86"/>
      <w:ind w:left="305"/>
    </w:pPr>
    <w:rPr>
      <w:rFonts w:ascii="Arial" w:hAnsi="Arial" w:cs="Arial"/>
      <w:color w:val="000000"/>
      <w:sz w:val="22"/>
      <w:szCs w:val="22"/>
    </w:rPr>
  </w:style>
  <w:style w:type="paragraph" w:styleId="NormalWeb">
    <w:name w:val="Normal (Web)"/>
    <w:basedOn w:val="Normal"/>
    <w:uiPriority w:val="99"/>
    <w:rsid w:val="00061BED"/>
    <w:pPr>
      <w:spacing w:before="100" w:beforeAutospacing="1" w:after="100" w:afterAutospacing="1"/>
    </w:pPr>
    <w:rPr>
      <w:sz w:val="24"/>
      <w:szCs w:val="24"/>
    </w:rPr>
  </w:style>
  <w:style w:type="paragraph" w:styleId="HTMLPreformatted">
    <w:name w:val="HTML Preformatted"/>
    <w:basedOn w:val="Normal"/>
    <w:rsid w:val="0006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erChar">
    <w:name w:val="Header Char"/>
    <w:link w:val="Header"/>
    <w:uiPriority w:val="99"/>
    <w:locked/>
    <w:rsid w:val="00D035DB"/>
    <w:rPr>
      <w:lang w:val="en-US" w:eastAsia="en-US" w:bidi="ar-SA"/>
    </w:rPr>
  </w:style>
  <w:style w:type="table" w:styleId="TableGrid">
    <w:name w:val="Table Grid"/>
    <w:basedOn w:val="TableNormal"/>
    <w:rsid w:val="0027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55"/>
    <w:pPr>
      <w:widowControl w:val="0"/>
      <w:overflowPunct w:val="0"/>
      <w:autoSpaceDE w:val="0"/>
      <w:autoSpaceDN w:val="0"/>
      <w:adjustRightInd w:val="0"/>
      <w:ind w:left="720"/>
      <w:contextualSpacing/>
      <w:textAlignment w:val="baseline"/>
    </w:pPr>
    <w:rPr>
      <w:sz w:val="24"/>
    </w:rPr>
  </w:style>
  <w:style w:type="paragraph" w:customStyle="1" w:styleId="Body1">
    <w:name w:val="Body 1"/>
    <w:rsid w:val="00834232"/>
    <w:pPr>
      <w:outlineLvl w:val="0"/>
    </w:pPr>
    <w:rPr>
      <w:rFonts w:ascii="Arial" w:eastAsia="ヒラギノ角ゴ Pro W3" w:hAnsi="Arial"/>
      <w:color w:val="000000"/>
      <w:lang w:val="en-US" w:eastAsia="en-US"/>
    </w:rPr>
  </w:style>
  <w:style w:type="paragraph" w:customStyle="1" w:styleId="xl25">
    <w:name w:val="xl25"/>
    <w:basedOn w:val="Normal"/>
    <w:rsid w:val="00340573"/>
    <w:pPr>
      <w:spacing w:before="100" w:beforeAutospacing="1" w:after="100" w:afterAutospacing="1"/>
    </w:pPr>
    <w:rPr>
      <w:rFonts w:ascii="Arial" w:eastAsia="Arial Unicode MS" w:hAnsi="Arial"/>
      <w:b/>
      <w:sz w:val="24"/>
    </w:rPr>
  </w:style>
  <w:style w:type="paragraph" w:customStyle="1" w:styleId="subheadingtextnotes">
    <w:name w:val="subheading text/notes"/>
    <w:aliases w:val="ST"/>
    <w:basedOn w:val="Normal"/>
    <w:uiPriority w:val="99"/>
    <w:rsid w:val="003C66A7"/>
    <w:pPr>
      <w:tabs>
        <w:tab w:val="decimal" w:pos="6380"/>
        <w:tab w:val="decimal" w:pos="7920"/>
      </w:tabs>
      <w:ind w:left="360"/>
      <w:jc w:val="both"/>
    </w:pPr>
  </w:style>
  <w:style w:type="character" w:customStyle="1" w:styleId="BodyTextChar">
    <w:name w:val="Body Text Char"/>
    <w:link w:val="BodyText"/>
    <w:rsid w:val="00F3473D"/>
    <w:rPr>
      <w:sz w:val="18"/>
      <w:lang w:val="en-US" w:eastAsia="en-US"/>
    </w:rPr>
  </w:style>
  <w:style w:type="paragraph" w:styleId="NoSpacing">
    <w:name w:val="No Spacing"/>
    <w:uiPriority w:val="1"/>
    <w:qFormat/>
    <w:rsid w:val="00BB5FB0"/>
    <w:rPr>
      <w:rFonts w:asciiTheme="minorHAnsi" w:eastAsiaTheme="minorHAnsi" w:hAnsiTheme="minorHAnsi" w:cstheme="minorBidi"/>
      <w:sz w:val="22"/>
      <w:szCs w:val="22"/>
      <w:lang w:eastAsia="en-US"/>
    </w:rPr>
  </w:style>
  <w:style w:type="character" w:customStyle="1" w:styleId="FooterChar">
    <w:name w:val="Footer Char"/>
    <w:link w:val="Footer"/>
    <w:uiPriority w:val="99"/>
    <w:rsid w:val="006948E1"/>
    <w:rPr>
      <w:lang w:val="en-US" w:eastAsia="en-US"/>
    </w:rPr>
  </w:style>
  <w:style w:type="character" w:styleId="Emphasis">
    <w:name w:val="Emphasis"/>
    <w:basedOn w:val="DefaultParagraphFont"/>
    <w:qFormat/>
    <w:rsid w:val="0043288D"/>
    <w:rPr>
      <w:i/>
      <w:iCs/>
    </w:rPr>
  </w:style>
  <w:style w:type="paragraph" w:styleId="Revision">
    <w:name w:val="Revision"/>
    <w:hidden/>
    <w:uiPriority w:val="99"/>
    <w:semiHidden/>
    <w:rsid w:val="00166045"/>
    <w:rPr>
      <w:lang w:val="en-US" w:eastAsia="en-US"/>
    </w:rPr>
  </w:style>
  <w:style w:type="character" w:styleId="Strong">
    <w:name w:val="Strong"/>
    <w:basedOn w:val="DefaultParagraphFont"/>
    <w:uiPriority w:val="22"/>
    <w:qFormat/>
    <w:rsid w:val="009D4172"/>
    <w:rPr>
      <w:b/>
      <w:bCs/>
    </w:rPr>
  </w:style>
  <w:style w:type="character" w:styleId="UnresolvedMention">
    <w:name w:val="Unresolved Mention"/>
    <w:basedOn w:val="DefaultParagraphFont"/>
    <w:uiPriority w:val="99"/>
    <w:semiHidden/>
    <w:unhideWhenUsed/>
    <w:rsid w:val="0064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268">
      <w:bodyDiv w:val="1"/>
      <w:marLeft w:val="0"/>
      <w:marRight w:val="0"/>
      <w:marTop w:val="0"/>
      <w:marBottom w:val="0"/>
      <w:divBdr>
        <w:top w:val="none" w:sz="0" w:space="0" w:color="auto"/>
        <w:left w:val="none" w:sz="0" w:space="0" w:color="auto"/>
        <w:bottom w:val="none" w:sz="0" w:space="0" w:color="auto"/>
        <w:right w:val="none" w:sz="0" w:space="0" w:color="auto"/>
      </w:divBdr>
    </w:div>
    <w:div w:id="583608537">
      <w:bodyDiv w:val="1"/>
      <w:marLeft w:val="0"/>
      <w:marRight w:val="0"/>
      <w:marTop w:val="0"/>
      <w:marBottom w:val="0"/>
      <w:divBdr>
        <w:top w:val="none" w:sz="0" w:space="0" w:color="auto"/>
        <w:left w:val="none" w:sz="0" w:space="0" w:color="auto"/>
        <w:bottom w:val="none" w:sz="0" w:space="0" w:color="auto"/>
        <w:right w:val="none" w:sz="0" w:space="0" w:color="auto"/>
      </w:divBdr>
    </w:div>
    <w:div w:id="915632245">
      <w:bodyDiv w:val="1"/>
      <w:marLeft w:val="0"/>
      <w:marRight w:val="0"/>
      <w:marTop w:val="0"/>
      <w:marBottom w:val="0"/>
      <w:divBdr>
        <w:top w:val="none" w:sz="0" w:space="0" w:color="auto"/>
        <w:left w:val="none" w:sz="0" w:space="0" w:color="auto"/>
        <w:bottom w:val="none" w:sz="0" w:space="0" w:color="auto"/>
        <w:right w:val="none" w:sz="0" w:space="0" w:color="auto"/>
      </w:divBdr>
    </w:div>
    <w:div w:id="1001464668">
      <w:bodyDiv w:val="1"/>
      <w:marLeft w:val="0"/>
      <w:marRight w:val="0"/>
      <w:marTop w:val="0"/>
      <w:marBottom w:val="0"/>
      <w:divBdr>
        <w:top w:val="none" w:sz="0" w:space="0" w:color="auto"/>
        <w:left w:val="none" w:sz="0" w:space="0" w:color="auto"/>
        <w:bottom w:val="none" w:sz="0" w:space="0" w:color="auto"/>
        <w:right w:val="none" w:sz="0" w:space="0" w:color="auto"/>
      </w:divBdr>
    </w:div>
    <w:div w:id="1499274383">
      <w:bodyDiv w:val="1"/>
      <w:marLeft w:val="0"/>
      <w:marRight w:val="0"/>
      <w:marTop w:val="0"/>
      <w:marBottom w:val="0"/>
      <w:divBdr>
        <w:top w:val="none" w:sz="0" w:space="0" w:color="auto"/>
        <w:left w:val="none" w:sz="0" w:space="0" w:color="auto"/>
        <w:bottom w:val="none" w:sz="0" w:space="0" w:color="auto"/>
        <w:right w:val="none" w:sz="0" w:space="0" w:color="auto"/>
      </w:divBdr>
    </w:div>
    <w:div w:id="16642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plu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darplus.ca" TargetMode="External"/><Relationship Id="rId4" Type="http://schemas.openxmlformats.org/officeDocument/2006/relationships/settings" Target="settings.xml"/><Relationship Id="rId9" Type="http://schemas.openxmlformats.org/officeDocument/2006/relationships/hyperlink" Target="http://www.nvgold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BF23-18C5-41BC-B4C9-8C050F51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7127</Words>
  <Characters>39766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46800</CharactersWithSpaces>
  <SharedDoc>false</SharedDoc>
  <HLinks>
    <vt:vector size="12" baseType="variant">
      <vt:variant>
        <vt:i4>3211324</vt:i4>
      </vt:variant>
      <vt:variant>
        <vt:i4>3</vt:i4>
      </vt:variant>
      <vt:variant>
        <vt:i4>0</vt:i4>
      </vt:variant>
      <vt:variant>
        <vt:i4>5</vt:i4>
      </vt:variant>
      <vt:variant>
        <vt:lpwstr>http://www.nvgoldcorp.com/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Gurdeep Phachu</cp:lastModifiedBy>
  <cp:revision>3</cp:revision>
  <cp:lastPrinted>2024-04-11T21:18:00Z</cp:lastPrinted>
  <dcterms:created xsi:type="dcterms:W3CDTF">2024-04-11T21:19:00Z</dcterms:created>
  <dcterms:modified xsi:type="dcterms:W3CDTF">2024-04-11T21:27:00Z</dcterms:modified>
</cp:coreProperties>
</file>